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04E5" w14:textId="7C6C7297" w:rsidR="00A97160" w:rsidRDefault="004F2ACB" w:rsidP="00F50241">
      <w:pPr>
        <w:pStyle w:val="Title"/>
        <w:spacing w:before="3240" w:after="240"/>
      </w:pPr>
      <w:r w:rsidRPr="004F2ACB">
        <w:t>Government Response: Potential Policy Responses to</w:t>
      </w:r>
      <w:r w:rsidR="001D37CB">
        <w:t> </w:t>
      </w:r>
      <w:r w:rsidRPr="004F2ACB">
        <w:t>De-banking in Australia</w:t>
      </w:r>
    </w:p>
    <w:p w14:paraId="7F43F022" w14:textId="4966A548" w:rsidR="005513F5" w:rsidRDefault="005513F5" w:rsidP="005513F5"/>
    <w:p w14:paraId="2566DCEF" w14:textId="52FF0956" w:rsidR="00F50241" w:rsidRDefault="004F2ACB" w:rsidP="00F50241">
      <w:pPr>
        <w:pStyle w:val="ReportDate"/>
        <w:spacing w:after="2880"/>
      </w:pPr>
      <w:r>
        <w:rPr>
          <w:rStyle w:val="ReportDateChar"/>
        </w:rPr>
        <w:t>June 2023</w:t>
      </w:r>
      <w:r w:rsidR="00F50241">
        <w:br w:type="page"/>
      </w:r>
    </w:p>
    <w:p w14:paraId="15B8C094" w14:textId="4D262E87" w:rsidR="004F2ACB" w:rsidRDefault="004F2ACB" w:rsidP="00F50241">
      <w:pPr>
        <w:spacing w:before="0"/>
      </w:pPr>
      <w:r w:rsidRPr="00661BF0">
        <w:lastRenderedPageBreak/>
        <w:t xml:space="preserve">© Commonwealth of </w:t>
      </w:r>
      <w:r w:rsidRPr="00470C7F">
        <w:t xml:space="preserve">Australia </w:t>
      </w:r>
      <w:r w:rsidRPr="002C2E01">
        <w:t>20</w:t>
      </w:r>
      <w:r w:rsidRPr="00470C7F">
        <w:t>2</w:t>
      </w:r>
      <w:r>
        <w:t>3</w:t>
      </w:r>
    </w:p>
    <w:p w14:paraId="6BC0B8B2" w14:textId="77777777" w:rsidR="004F2ACB" w:rsidRPr="00086F82" w:rsidRDefault="004F2ACB" w:rsidP="004F2ACB">
      <w:pPr>
        <w:tabs>
          <w:tab w:val="left" w:pos="1650"/>
        </w:tabs>
        <w:rPr>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t>.</w:t>
      </w:r>
      <w:r w:rsidRPr="002F1BC2">
        <w:t xml:space="preserve"> The full licence terms are available from</w:t>
      </w:r>
      <w:r w:rsidRPr="00476F09">
        <w:rPr>
          <w:rFonts w:cstheme="minorHAnsi"/>
          <w:sz w:val="24"/>
          <w:szCs w:val="24"/>
        </w:rPr>
        <w:t xml:space="preserve"> </w:t>
      </w:r>
      <w:hyperlink r:id="rId9"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5B7A67B8" w14:textId="77777777" w:rsidR="004F2ACB" w:rsidRDefault="004F2ACB" w:rsidP="004F2ACB">
      <w:pPr>
        <w:pStyle w:val="ChartGraphic"/>
        <w:jc w:val="left"/>
      </w:pPr>
      <w:r w:rsidRPr="00E56DFB">
        <w:rPr>
          <w:noProof/>
        </w:rPr>
        <w:drawing>
          <wp:inline distT="0" distB="0" distL="0" distR="0" wp14:anchorId="0BE4933E" wp14:editId="5AF16F57">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1E9DCC8" w14:textId="77777777" w:rsidR="004F2ACB" w:rsidRPr="006627B4" w:rsidRDefault="004F2ACB" w:rsidP="004F2ACB">
      <w:pPr>
        <w:tabs>
          <w:tab w:val="left" w:pos="1650"/>
        </w:tabs>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t xml:space="preserve"> l</w:t>
      </w:r>
      <w:r w:rsidRPr="006627B4">
        <w:t>icence requires you to attribute the work (but not in any way that suggests that the Treasury endorse</w:t>
      </w:r>
      <w:r>
        <w:t>s you or your use of the work).</w:t>
      </w:r>
    </w:p>
    <w:p w14:paraId="03C79D75" w14:textId="77777777" w:rsidR="004F2ACB" w:rsidRPr="006469CC" w:rsidRDefault="004F2ACB" w:rsidP="004F2ACB">
      <w:pPr>
        <w:rPr>
          <w:b/>
        </w:rPr>
      </w:pPr>
      <w:r w:rsidRPr="006469CC">
        <w:rPr>
          <w:b/>
        </w:rPr>
        <w:t>Treasury material used ‘as supplied’</w:t>
      </w:r>
    </w:p>
    <w:p w14:paraId="1BF038D9" w14:textId="77777777" w:rsidR="004F2ACB" w:rsidRPr="00476F09" w:rsidRDefault="004F2ACB" w:rsidP="004F2ACB">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9C18ECC" w14:textId="77777777" w:rsidR="004F2ACB" w:rsidRPr="00A13A11" w:rsidRDefault="004F2ACB" w:rsidP="004F2ACB">
      <w:pPr>
        <w:ind w:firstLine="720"/>
      </w:pPr>
      <w:r w:rsidRPr="002F1BC2">
        <w:rPr>
          <w:i/>
        </w:rPr>
        <w:t xml:space="preserve">Source: The </w:t>
      </w:r>
      <w:r w:rsidRPr="002F1BC2">
        <w:rPr>
          <w:i/>
          <w:iCs/>
        </w:rPr>
        <w:t>Australian Government the Treasury</w:t>
      </w:r>
    </w:p>
    <w:p w14:paraId="41901EFC" w14:textId="77777777" w:rsidR="004F2ACB" w:rsidRPr="006627B4" w:rsidRDefault="004F2ACB" w:rsidP="004F2ACB">
      <w:r w:rsidRPr="00CC63CC">
        <w:rPr>
          <w:b/>
        </w:rPr>
        <w:t>Derivative</w:t>
      </w:r>
      <w:r w:rsidRPr="006627B4">
        <w:t xml:space="preserve"> </w:t>
      </w:r>
      <w:r w:rsidRPr="00CC63CC">
        <w:rPr>
          <w:b/>
        </w:rPr>
        <w:t>material</w:t>
      </w:r>
    </w:p>
    <w:p w14:paraId="510176DF" w14:textId="77777777" w:rsidR="004F2ACB" w:rsidRPr="006627B4" w:rsidRDefault="004F2ACB" w:rsidP="004F2ACB">
      <w:r w:rsidRPr="006627B4">
        <w:t xml:space="preserve">If you have modified or transformed Treasury material, or derived new material from those of the Treasury in any way, then Treasury prefers the following attribution: </w:t>
      </w:r>
    </w:p>
    <w:p w14:paraId="403A343C" w14:textId="77777777" w:rsidR="004F2ACB" w:rsidRPr="006627B4" w:rsidRDefault="004F2ACB" w:rsidP="004F2ACB">
      <w:pPr>
        <w:ind w:firstLine="720"/>
      </w:pPr>
      <w:r w:rsidRPr="002F1BC2">
        <w:rPr>
          <w:i/>
        </w:rPr>
        <w:t>Based on The Australian Government the Treasury data</w:t>
      </w:r>
      <w:r>
        <w:t>.</w:t>
      </w:r>
    </w:p>
    <w:p w14:paraId="13F2B8DE" w14:textId="77777777" w:rsidR="004F2ACB" w:rsidRPr="006627B4" w:rsidRDefault="004F2ACB" w:rsidP="004F2ACB">
      <w:pPr>
        <w:rPr>
          <w:b/>
        </w:rPr>
      </w:pPr>
      <w:r w:rsidRPr="006627B4">
        <w:rPr>
          <w:b/>
        </w:rPr>
        <w:t>Use of the Coat of Arms</w:t>
      </w:r>
    </w:p>
    <w:p w14:paraId="61AAD2AC" w14:textId="7D6ED8B6" w:rsidR="004F2ACB" w:rsidRPr="005C503A" w:rsidRDefault="004F2ACB" w:rsidP="004F2ACB">
      <w:r w:rsidRPr="005C503A">
        <w:t xml:space="preserve">The terms under which the Coat of Arms can be used are set out on the Department of the Prime Minister and Cabinet website (see </w:t>
      </w:r>
      <w:hyperlink r:id="rId12" w:history="1">
        <w:r w:rsidR="00DF1983">
          <w:rPr>
            <w:rStyle w:val="Hyperlink"/>
          </w:rPr>
          <w:t>www.pmc.gov.au/honours-and-symbols/commonwealth-coat-arms</w:t>
        </w:r>
      </w:hyperlink>
      <w:r w:rsidRPr="005C503A">
        <w:t>).</w:t>
      </w:r>
    </w:p>
    <w:p w14:paraId="7160E8E6" w14:textId="77777777" w:rsidR="004F2ACB" w:rsidRPr="006627B4" w:rsidRDefault="004F2ACB" w:rsidP="004F2ACB">
      <w:pPr>
        <w:rPr>
          <w:b/>
        </w:rPr>
      </w:pPr>
      <w:r>
        <w:rPr>
          <w:b/>
        </w:rPr>
        <w:t>Other u</w:t>
      </w:r>
      <w:r w:rsidRPr="006627B4">
        <w:rPr>
          <w:b/>
        </w:rPr>
        <w:t>ses</w:t>
      </w:r>
    </w:p>
    <w:p w14:paraId="2DD3A648" w14:textId="77777777" w:rsidR="004F2ACB" w:rsidRPr="006627B4" w:rsidRDefault="004F2ACB" w:rsidP="004F2ACB">
      <w:r>
        <w:t>E</w:t>
      </w:r>
      <w:r w:rsidRPr="006627B4">
        <w:t>nquiries regarding this licence and any other use of this document are welcome at:</w:t>
      </w:r>
    </w:p>
    <w:p w14:paraId="2B9EF332" w14:textId="49C40E1F" w:rsidR="004F2ACB" w:rsidRDefault="004F2ACB" w:rsidP="004F2ACB">
      <w:pPr>
        <w:ind w:left="720"/>
        <w:rPr>
          <w:rStyle w:val="Hyperlink"/>
        </w:rPr>
      </w:pPr>
      <w:r w:rsidRPr="006627B4">
        <w:t>Manager</w:t>
      </w:r>
      <w:r>
        <w:br/>
        <w:t>Media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3" w:history="1">
        <w:r>
          <w:rPr>
            <w:rStyle w:val="Hyperlink"/>
          </w:rPr>
          <w:t>media@treasury.gov.au</w:t>
        </w:r>
      </w:hyperlink>
    </w:p>
    <w:p w14:paraId="02320629" w14:textId="77777777" w:rsidR="0008212F" w:rsidRDefault="0008212F" w:rsidP="00F41F74">
      <w:pPr>
        <w:rPr>
          <w:rStyle w:val="Hyperlink"/>
        </w:rPr>
      </w:pPr>
    </w:p>
    <w:p w14:paraId="1157B5EE" w14:textId="6C2929B5" w:rsidR="00F41F74" w:rsidRDefault="00F41F74" w:rsidP="00A31E7B">
      <w:pPr>
        <w:rPr>
          <w:rStyle w:val="Hyperlink"/>
        </w:rPr>
        <w:sectPr w:rsidR="00F41F74" w:rsidSect="00A31E7B">
          <w:headerReference w:type="default" r:id="rId14"/>
          <w:footerReference w:type="default" r:id="rId15"/>
          <w:type w:val="oddPage"/>
          <w:pgSz w:w="11906" w:h="16838" w:code="9"/>
          <w:pgMar w:top="2268" w:right="1418" w:bottom="1418" w:left="1418" w:header="709" w:footer="709" w:gutter="0"/>
          <w:pgNumType w:start="1"/>
          <w:cols w:space="708"/>
          <w:docGrid w:linePitch="360"/>
        </w:sectPr>
      </w:pPr>
    </w:p>
    <w:p w14:paraId="0E3FC37B" w14:textId="77777777" w:rsidR="00F41F74" w:rsidRDefault="00F41F74" w:rsidP="00A31E7B">
      <w:pPr>
        <w:pStyle w:val="Heading1"/>
        <w:spacing w:before="0"/>
      </w:pPr>
      <w:bookmarkStart w:id="0" w:name="_Toc137115634"/>
      <w:bookmarkStart w:id="1" w:name="_Toc137115836"/>
      <w:bookmarkStart w:id="2" w:name="_Toc137723729"/>
      <w:bookmarkStart w:id="3" w:name="_Toc432067103"/>
      <w:bookmarkStart w:id="4" w:name="_Toc452635030"/>
      <w:r w:rsidRPr="00A31E7B">
        <w:lastRenderedPageBreak/>
        <w:t>Contents</w:t>
      </w:r>
      <w:bookmarkEnd w:id="0"/>
      <w:bookmarkEnd w:id="1"/>
      <w:bookmarkEnd w:id="2"/>
    </w:p>
    <w:p w14:paraId="3F3AEE38" w14:textId="77777777" w:rsidR="00F41F74" w:rsidRPr="00DF22C7" w:rsidRDefault="00F41F74" w:rsidP="00F41F74">
      <w:pPr>
        <w:pStyle w:val="SingleParagraph"/>
      </w:pPr>
    </w:p>
    <w:p w14:paraId="5AE59952" w14:textId="1DF5C1D4" w:rsidR="003A289D" w:rsidRDefault="00F41F74">
      <w:pPr>
        <w:pStyle w:val="TOC1"/>
        <w:rPr>
          <w:rFonts w:eastAsiaTheme="minorEastAsia" w:cstheme="minorBidi"/>
          <w:b w:val="0"/>
          <w:color w:val="auto"/>
          <w:sz w:val="22"/>
        </w:rPr>
      </w:pPr>
      <w:r>
        <w:rPr>
          <w:b w:val="0"/>
          <w:color w:val="004A7F"/>
        </w:rPr>
        <w:fldChar w:fldCharType="begin"/>
      </w:r>
      <w:r>
        <w:rPr>
          <w:b w:val="0"/>
          <w:color w:val="004A7F"/>
        </w:rPr>
        <w:instrText xml:space="preserve"> TOC \o "1-3" \h \z \t "Table recommendation,3" </w:instrText>
      </w:r>
      <w:r>
        <w:rPr>
          <w:b w:val="0"/>
          <w:color w:val="004A7F"/>
        </w:rPr>
        <w:fldChar w:fldCharType="separate"/>
      </w:r>
      <w:hyperlink w:anchor="_Toc137723730" w:history="1">
        <w:r w:rsidR="003A289D" w:rsidRPr="004E610B">
          <w:rPr>
            <w:rStyle w:val="Hyperlink"/>
          </w:rPr>
          <w:t>Foreword</w:t>
        </w:r>
        <w:r w:rsidR="003A289D">
          <w:rPr>
            <w:webHidden/>
          </w:rPr>
          <w:tab/>
        </w:r>
        <w:r w:rsidR="003A289D">
          <w:rPr>
            <w:webHidden/>
          </w:rPr>
          <w:fldChar w:fldCharType="begin"/>
        </w:r>
        <w:r w:rsidR="003A289D">
          <w:rPr>
            <w:webHidden/>
          </w:rPr>
          <w:instrText xml:space="preserve"> PAGEREF _Toc137723730 \h </w:instrText>
        </w:r>
        <w:r w:rsidR="003A289D">
          <w:rPr>
            <w:webHidden/>
          </w:rPr>
        </w:r>
        <w:r w:rsidR="003A289D">
          <w:rPr>
            <w:webHidden/>
          </w:rPr>
          <w:fldChar w:fldCharType="separate"/>
        </w:r>
        <w:r w:rsidR="00223728">
          <w:rPr>
            <w:webHidden/>
          </w:rPr>
          <w:t>2</w:t>
        </w:r>
        <w:r w:rsidR="003A289D">
          <w:rPr>
            <w:webHidden/>
          </w:rPr>
          <w:fldChar w:fldCharType="end"/>
        </w:r>
      </w:hyperlink>
    </w:p>
    <w:p w14:paraId="3537BAF4" w14:textId="51183E9A" w:rsidR="003A289D" w:rsidRDefault="00DA419D">
      <w:pPr>
        <w:pStyle w:val="TOC1"/>
        <w:rPr>
          <w:rFonts w:eastAsiaTheme="minorEastAsia" w:cstheme="minorBidi"/>
          <w:b w:val="0"/>
          <w:color w:val="auto"/>
          <w:sz w:val="22"/>
        </w:rPr>
      </w:pPr>
      <w:hyperlink w:anchor="_Toc137723731" w:history="1">
        <w:r w:rsidR="003A289D" w:rsidRPr="004E610B">
          <w:rPr>
            <w:rStyle w:val="Hyperlink"/>
          </w:rPr>
          <w:t>Response to recommendations</w:t>
        </w:r>
        <w:r w:rsidR="003A289D">
          <w:rPr>
            <w:webHidden/>
          </w:rPr>
          <w:tab/>
        </w:r>
        <w:r w:rsidR="003A289D">
          <w:rPr>
            <w:webHidden/>
          </w:rPr>
          <w:fldChar w:fldCharType="begin"/>
        </w:r>
        <w:r w:rsidR="003A289D">
          <w:rPr>
            <w:webHidden/>
          </w:rPr>
          <w:instrText xml:space="preserve"> PAGEREF _Toc137723731 \h </w:instrText>
        </w:r>
        <w:r w:rsidR="003A289D">
          <w:rPr>
            <w:webHidden/>
          </w:rPr>
        </w:r>
        <w:r w:rsidR="003A289D">
          <w:rPr>
            <w:webHidden/>
          </w:rPr>
          <w:fldChar w:fldCharType="separate"/>
        </w:r>
        <w:r w:rsidR="00223728">
          <w:rPr>
            <w:webHidden/>
          </w:rPr>
          <w:t>3</w:t>
        </w:r>
        <w:r w:rsidR="003A289D">
          <w:rPr>
            <w:webHidden/>
          </w:rPr>
          <w:fldChar w:fldCharType="end"/>
        </w:r>
      </w:hyperlink>
    </w:p>
    <w:p w14:paraId="1289173D" w14:textId="67568FC8" w:rsidR="00A31E7B" w:rsidRPr="003A289D" w:rsidRDefault="00F41F74" w:rsidP="003A289D">
      <w:pPr>
        <w:pStyle w:val="TOC3"/>
        <w:rPr>
          <w:rFonts w:eastAsiaTheme="minorEastAsia" w:cstheme="minorBidi"/>
          <w:color w:val="auto"/>
          <w:szCs w:val="22"/>
        </w:rPr>
      </w:pPr>
      <w:r>
        <w:fldChar w:fldCharType="end"/>
      </w:r>
      <w:r w:rsidR="00A31E7B">
        <w:br w:type="page"/>
      </w:r>
    </w:p>
    <w:p w14:paraId="5070EFBE" w14:textId="7DF3F19D" w:rsidR="00475085" w:rsidRPr="00F41F74" w:rsidRDefault="00475085" w:rsidP="00A31E7B">
      <w:pPr>
        <w:pStyle w:val="Heading1"/>
      </w:pPr>
      <w:bookmarkStart w:id="5" w:name="_Toc137723730"/>
      <w:r w:rsidRPr="00A31E7B">
        <w:lastRenderedPageBreak/>
        <w:t>Foreword</w:t>
      </w:r>
      <w:bookmarkEnd w:id="3"/>
      <w:bookmarkEnd w:id="4"/>
      <w:bookmarkEnd w:id="5"/>
    </w:p>
    <w:p w14:paraId="4C596B82" w14:textId="77777777" w:rsidR="004F2ACB" w:rsidRPr="004F2ACB" w:rsidRDefault="004F2ACB" w:rsidP="00DF22C7">
      <w:pPr>
        <w:pStyle w:val="SingleParagraph"/>
      </w:pPr>
    </w:p>
    <w:p w14:paraId="76019B5E" w14:textId="77777777" w:rsidR="004F2ACB" w:rsidRPr="004F2ACB" w:rsidRDefault="004F2ACB" w:rsidP="004F2ACB">
      <w:r w:rsidRPr="004F2ACB">
        <w:t xml:space="preserve">De-banking is not only an Australian challenge, but one that affects many jurisdictions globally. Any proposed solution to the problem must balance support for business, whilst appropriately managing financial crime and other risks. </w:t>
      </w:r>
    </w:p>
    <w:p w14:paraId="36B24AE7" w14:textId="77777777" w:rsidR="004F2ACB" w:rsidRPr="004F2ACB" w:rsidRDefault="004F2ACB" w:rsidP="004F2ACB">
      <w:r w:rsidRPr="004F2ACB">
        <w:t>De-banking occurs when a bank declines to offer or withdraws banking services to a customer and is driven by a number of inter-related causes, including Anti-Money Laundering and Counter-Terrorism Financing (AML/CTF) laws, sanctions compliance, profitability and reputational risk considerations.</w:t>
      </w:r>
    </w:p>
    <w:p w14:paraId="70F04D2B" w14:textId="77777777" w:rsidR="004F2ACB" w:rsidRPr="004F2ACB" w:rsidRDefault="004F2ACB" w:rsidP="004F2ACB">
      <w:r w:rsidRPr="004F2ACB">
        <w:t xml:space="preserve">In August 2022, the Council of Financial Regulators (CFR) provided the Government with advice on potential policy responses to de-banking. The advice was commissioned in response to the recommendations in the final report of the Senate Select Committee on Australia as a Technology and Financial Centre. In October 2022, the CFR published their advice to Government making four recommendations. </w:t>
      </w:r>
    </w:p>
    <w:p w14:paraId="4DCD4EE0" w14:textId="77777777" w:rsidR="004F2ACB" w:rsidRPr="004F2ACB" w:rsidRDefault="004F2ACB" w:rsidP="004F2ACB">
      <w:r w:rsidRPr="004F2ACB">
        <w:t xml:space="preserve">There are many anecdotal examples of de-banking occurring in Australia, however, the clear lack of data on de-banking practices makes it challenging to design effective policy responses. The Government acknowledges the importance of insightful data to monitor any potential policy responses to de-banking.   </w:t>
      </w:r>
    </w:p>
    <w:p w14:paraId="5857C2B6" w14:textId="77777777" w:rsidR="004F2ACB" w:rsidRPr="004F2ACB" w:rsidRDefault="004F2ACB" w:rsidP="004F2ACB">
      <w:r w:rsidRPr="004F2ACB">
        <w:t xml:space="preserve">The Government recognises the seriousness of de-banking and understands that inaction on the issue will stifle competition and innovation in the financial services sector and may drive businesses underground and to operate exclusively in cash. </w:t>
      </w:r>
    </w:p>
    <w:p w14:paraId="39D5AA11" w14:textId="77777777" w:rsidR="004F2ACB" w:rsidRPr="004F2ACB" w:rsidRDefault="004F2ACB" w:rsidP="004F2ACB">
      <w:r w:rsidRPr="004F2ACB">
        <w:t>Our response highlights the Government’s commitment to taking action on de-banking, and our intentions to balance support for affected businesses, while also acknowledging banks are commercial enterprises and must manage their own risks and resources.</w:t>
      </w:r>
    </w:p>
    <w:p w14:paraId="54EA21DF" w14:textId="77777777" w:rsidR="004F2ACB" w:rsidRPr="004F2ACB" w:rsidRDefault="004F2ACB" w:rsidP="004F2ACB">
      <w:r w:rsidRPr="004F2ACB">
        <w:t xml:space="preserve">In response to CFR’s advice, the Government: </w:t>
      </w:r>
    </w:p>
    <w:p w14:paraId="35223DBB" w14:textId="03381AC0" w:rsidR="004F2ACB" w:rsidRPr="004F2ACB" w:rsidRDefault="004F2ACB" w:rsidP="004F2ACB">
      <w:pPr>
        <w:pStyle w:val="Bullet"/>
      </w:pPr>
      <w:r w:rsidRPr="004F2ACB">
        <w:t xml:space="preserve">Agrees to the </w:t>
      </w:r>
      <w:r w:rsidRPr="005E2C23">
        <w:rPr>
          <w:i/>
          <w:iCs/>
        </w:rPr>
        <w:t>data collection</w:t>
      </w:r>
      <w:r w:rsidRPr="004F2ACB">
        <w:t xml:space="preserve"> </w:t>
      </w:r>
      <w:proofErr w:type="gramStart"/>
      <w:r w:rsidRPr="004F2ACB">
        <w:t>recommendation</w:t>
      </w:r>
      <w:r w:rsidR="00047334">
        <w:t>;</w:t>
      </w:r>
      <w:proofErr w:type="gramEnd"/>
    </w:p>
    <w:p w14:paraId="7DA700FA" w14:textId="5FA1BF0C" w:rsidR="004F2ACB" w:rsidRPr="004F2ACB" w:rsidRDefault="004F2ACB" w:rsidP="004F2ACB">
      <w:pPr>
        <w:pStyle w:val="Bullet"/>
      </w:pPr>
      <w:r w:rsidRPr="004F2ACB">
        <w:t xml:space="preserve">Supports the </w:t>
      </w:r>
      <w:r w:rsidRPr="005E2C23">
        <w:rPr>
          <w:i/>
          <w:iCs/>
        </w:rPr>
        <w:t>transparency and fairness measures</w:t>
      </w:r>
      <w:r w:rsidRPr="004F2ACB">
        <w:t xml:space="preserve"> recommendation in </w:t>
      </w:r>
      <w:proofErr w:type="gramStart"/>
      <w:r w:rsidRPr="004F2ACB">
        <w:t>principle</w:t>
      </w:r>
      <w:r w:rsidR="00047334">
        <w:t>;</w:t>
      </w:r>
      <w:proofErr w:type="gramEnd"/>
    </w:p>
    <w:p w14:paraId="0ADD730E" w14:textId="7E8DD1A3" w:rsidR="004F2ACB" w:rsidRPr="004F2ACB" w:rsidRDefault="004F2ACB" w:rsidP="004F2ACB">
      <w:pPr>
        <w:pStyle w:val="Bullet"/>
      </w:pPr>
      <w:r w:rsidRPr="004F2ACB">
        <w:t xml:space="preserve">Supports the </w:t>
      </w:r>
      <w:r w:rsidRPr="005E2C23">
        <w:rPr>
          <w:i/>
          <w:iCs/>
        </w:rPr>
        <w:t>guidance by major banks</w:t>
      </w:r>
      <w:r w:rsidRPr="004F2ACB">
        <w:t xml:space="preserve"> recommendation in principle</w:t>
      </w:r>
      <w:r w:rsidR="00047334">
        <w:t>; and</w:t>
      </w:r>
    </w:p>
    <w:p w14:paraId="6C9399DA" w14:textId="74437BC6" w:rsidR="004F2ACB" w:rsidRPr="004F2ACB" w:rsidRDefault="004F2ACB" w:rsidP="004F2ACB">
      <w:pPr>
        <w:pStyle w:val="Bullet"/>
      </w:pPr>
      <w:r w:rsidRPr="004F2ACB">
        <w:t xml:space="preserve">Notes the </w:t>
      </w:r>
      <w:r w:rsidRPr="005E2C23">
        <w:rPr>
          <w:i/>
          <w:iCs/>
        </w:rPr>
        <w:t xml:space="preserve">capability uplift </w:t>
      </w:r>
      <w:r w:rsidRPr="004F2ACB">
        <w:t xml:space="preserve">recommendation. </w:t>
      </w:r>
    </w:p>
    <w:p w14:paraId="5481E12D" w14:textId="77777777" w:rsidR="00ED5A20" w:rsidRDefault="004F2ACB" w:rsidP="004F2ACB">
      <w:r w:rsidRPr="004F2ACB">
        <w:t>The Government will now work closely and iteratively with regulators, banks and the affected sectors to ensure that the implementation of the agreed upon recommendations is effective and achievable.</w:t>
      </w:r>
    </w:p>
    <w:p w14:paraId="4F774100" w14:textId="72D8918F" w:rsidR="00B96128" w:rsidRDefault="00B96128" w:rsidP="004F2ACB"/>
    <w:p w14:paraId="611FCEA4" w14:textId="77777777" w:rsidR="00A31E7B" w:rsidRDefault="00B96128" w:rsidP="00B96128">
      <w:r>
        <w:t xml:space="preserve">The Hon Dr Jim Chalmers MP </w:t>
      </w:r>
      <w:r>
        <w:br/>
        <w:t>Treasurer</w:t>
      </w:r>
    </w:p>
    <w:p w14:paraId="6136CFFA" w14:textId="658CDA7F" w:rsidR="00A31E7B" w:rsidRDefault="00A31E7B" w:rsidP="00B96128">
      <w:r>
        <w:br w:type="page"/>
      </w:r>
    </w:p>
    <w:p w14:paraId="5067B86C" w14:textId="2E2A2159" w:rsidR="00C60B0F" w:rsidRPr="00F41F74" w:rsidRDefault="004F2ACB" w:rsidP="003A289D">
      <w:pPr>
        <w:pStyle w:val="Heading1"/>
      </w:pPr>
      <w:bookmarkStart w:id="6" w:name="_Toc137723731"/>
      <w:r w:rsidRPr="00F41F74">
        <w:lastRenderedPageBreak/>
        <w:t xml:space="preserve">Response to </w:t>
      </w:r>
      <w:r w:rsidRPr="003A289D">
        <w:t>recommendations</w:t>
      </w:r>
      <w:bookmarkEnd w:id="6"/>
    </w:p>
    <w:p w14:paraId="6EAA460A" w14:textId="2FC01DE5" w:rsidR="004F2ACB" w:rsidRPr="00DF22C7" w:rsidRDefault="003A289D" w:rsidP="003A289D">
      <w:pPr>
        <w:pStyle w:val="SingleParagraph"/>
      </w:pPr>
      <w:r>
        <w:br/>
      </w:r>
    </w:p>
    <w:tbl>
      <w:tblPr>
        <w:tblStyle w:val="TableGridLight"/>
        <w:tblW w:w="5000" w:type="pct"/>
        <w:tblLook w:val="01E0" w:firstRow="1" w:lastRow="1" w:firstColumn="1" w:lastColumn="1" w:noHBand="0" w:noVBand="0"/>
      </w:tblPr>
      <w:tblGrid>
        <w:gridCol w:w="4530"/>
        <w:gridCol w:w="4530"/>
      </w:tblGrid>
      <w:tr w:rsidR="004F2ACB" w14:paraId="716FB636" w14:textId="77777777" w:rsidTr="00DF22C7">
        <w:trPr>
          <w:trHeight w:val="454"/>
          <w:tblHeader/>
        </w:trPr>
        <w:tc>
          <w:tcPr>
            <w:tcW w:w="2500" w:type="pct"/>
            <w:shd w:val="clear" w:color="auto" w:fill="F8F8F8" w:themeFill="background2"/>
            <w:vAlign w:val="center"/>
          </w:tcPr>
          <w:p w14:paraId="13D76176" w14:textId="3A5C67C2" w:rsidR="004F2ACB" w:rsidRPr="00332934" w:rsidRDefault="004F2ACB" w:rsidP="00A30C8B">
            <w:pPr>
              <w:pStyle w:val="TableColumnHeadingLeft"/>
              <w:spacing w:after="60"/>
            </w:pPr>
            <w:r w:rsidRPr="00332934">
              <w:br w:type="page"/>
              <w:t>Recommendation</w:t>
            </w:r>
          </w:p>
        </w:tc>
        <w:tc>
          <w:tcPr>
            <w:tcW w:w="2500" w:type="pct"/>
            <w:shd w:val="clear" w:color="auto" w:fill="F8F8F8" w:themeFill="background2"/>
            <w:vAlign w:val="center"/>
          </w:tcPr>
          <w:p w14:paraId="48C2BA3E" w14:textId="12BA9538" w:rsidR="004F2ACB" w:rsidRPr="00332934" w:rsidRDefault="004F2ACB" w:rsidP="00A30C8B">
            <w:pPr>
              <w:pStyle w:val="TableColumnHeadingLeft"/>
              <w:spacing w:after="60"/>
            </w:pPr>
            <w:r w:rsidRPr="00332934">
              <w:t>Government response</w:t>
            </w:r>
          </w:p>
        </w:tc>
      </w:tr>
      <w:tr w:rsidR="004F2ACB" w14:paraId="77E2D302" w14:textId="77777777" w:rsidTr="00EE2A34">
        <w:trPr>
          <w:trHeight w:val="2255"/>
        </w:trPr>
        <w:tc>
          <w:tcPr>
            <w:tcW w:w="2500" w:type="pct"/>
          </w:tcPr>
          <w:p w14:paraId="68D15D46" w14:textId="23737DB7" w:rsidR="004F2ACB" w:rsidRPr="00332934" w:rsidRDefault="004F2ACB" w:rsidP="00332934">
            <w:pPr>
              <w:pStyle w:val="Tablerecommendation"/>
            </w:pPr>
            <w:bookmarkStart w:id="7" w:name="_Toc137115839"/>
            <w:bookmarkStart w:id="8" w:name="_Toc137723732"/>
            <w:r w:rsidRPr="00332934">
              <w:t xml:space="preserve">Recommendation </w:t>
            </w:r>
            <w:r w:rsidR="00A30C8B">
              <w:t>1</w:t>
            </w:r>
            <w:r w:rsidRPr="00332934">
              <w:t>: Data collection</w:t>
            </w:r>
            <w:bookmarkEnd w:id="7"/>
            <w:bookmarkEnd w:id="8"/>
          </w:p>
          <w:p w14:paraId="65AE1FB7" w14:textId="42F4266A" w:rsidR="004F2ACB" w:rsidRPr="00DF22C7" w:rsidRDefault="004F2ACB" w:rsidP="00DF22C7">
            <w:pPr>
              <w:pStyle w:val="TableTextLeft"/>
              <w:spacing w:before="120" w:after="120"/>
              <w:rPr>
                <w:sz w:val="20"/>
              </w:rPr>
            </w:pPr>
            <w:r w:rsidRPr="00DF22C7">
              <w:rPr>
                <w:sz w:val="20"/>
              </w:rPr>
              <w:t>That voluntary data collection on de-banking be undertaken by the four major banks, following which, consideration will be given to a formal phase of data collection, subject to appropriate resourcing for relevant agencies.</w:t>
            </w:r>
          </w:p>
        </w:tc>
        <w:tc>
          <w:tcPr>
            <w:tcW w:w="2500" w:type="pct"/>
          </w:tcPr>
          <w:p w14:paraId="673DBCB3" w14:textId="77777777" w:rsidR="00991ED3" w:rsidRPr="00DF22C7" w:rsidRDefault="00991ED3" w:rsidP="00DF22C7">
            <w:pPr>
              <w:pStyle w:val="TableTextLeft"/>
              <w:spacing w:before="120" w:after="120"/>
              <w:rPr>
                <w:sz w:val="20"/>
              </w:rPr>
            </w:pPr>
            <w:r w:rsidRPr="00DF22C7">
              <w:rPr>
                <w:sz w:val="20"/>
              </w:rPr>
              <w:t xml:space="preserve">The Government </w:t>
            </w:r>
            <w:r w:rsidRPr="00DF22C7">
              <w:rPr>
                <w:b/>
                <w:bCs/>
                <w:sz w:val="20"/>
              </w:rPr>
              <w:t>agrees</w:t>
            </w:r>
            <w:r w:rsidRPr="00DF22C7">
              <w:rPr>
                <w:sz w:val="20"/>
              </w:rPr>
              <w:t xml:space="preserve"> to this recommendation. </w:t>
            </w:r>
          </w:p>
          <w:p w14:paraId="467CFBCA" w14:textId="2F595218" w:rsidR="00991ED3" w:rsidRPr="00DF22C7" w:rsidRDefault="00991ED3" w:rsidP="00DF22C7">
            <w:pPr>
              <w:pStyle w:val="TableTextLeft"/>
              <w:spacing w:before="120" w:after="120"/>
              <w:rPr>
                <w:sz w:val="20"/>
              </w:rPr>
            </w:pPr>
            <w:r w:rsidRPr="00DF22C7">
              <w:rPr>
                <w:sz w:val="20"/>
              </w:rPr>
              <w:t>While noting the challenges associated with data collection, the Government views data collection to be a fundamental aspect of the response to de</w:t>
            </w:r>
            <w:r w:rsidR="004B777F">
              <w:rPr>
                <w:sz w:val="20"/>
              </w:rPr>
              <w:noBreakHyphen/>
            </w:r>
            <w:r w:rsidRPr="00DF22C7">
              <w:rPr>
                <w:sz w:val="20"/>
              </w:rPr>
              <w:t xml:space="preserve">banking. The data will enable monitoring of the extent and nature of de-banking and help inform any future policy formulation and monitoring. </w:t>
            </w:r>
          </w:p>
          <w:p w14:paraId="6403911C" w14:textId="6944350F" w:rsidR="00991ED3" w:rsidRPr="00DF22C7" w:rsidRDefault="00991ED3" w:rsidP="00DF22C7">
            <w:pPr>
              <w:pStyle w:val="TableTextLeft"/>
              <w:spacing w:before="120" w:after="120"/>
              <w:rPr>
                <w:sz w:val="20"/>
              </w:rPr>
            </w:pPr>
            <w:r w:rsidRPr="00DF22C7">
              <w:rPr>
                <w:sz w:val="20"/>
              </w:rPr>
              <w:t>Treasury will work with APRA and the four major banks to design and scope the voluntary data collection to ensure the data collected is useful and the process is iterative.</w:t>
            </w:r>
          </w:p>
        </w:tc>
      </w:tr>
      <w:tr w:rsidR="00991ED3" w14:paraId="6D7C17CA" w14:textId="77777777" w:rsidTr="00EE2A34">
        <w:tc>
          <w:tcPr>
            <w:tcW w:w="2500" w:type="pct"/>
          </w:tcPr>
          <w:p w14:paraId="394E59C0" w14:textId="26304DC8" w:rsidR="00991ED3" w:rsidRPr="00DF22C7" w:rsidRDefault="00991ED3" w:rsidP="00332934">
            <w:pPr>
              <w:pStyle w:val="Tablerecommendation"/>
            </w:pPr>
            <w:bookmarkStart w:id="9" w:name="_Toc137115840"/>
            <w:bookmarkStart w:id="10" w:name="_Toc137723733"/>
            <w:r w:rsidRPr="00DF22C7">
              <w:t xml:space="preserve">Recommendation </w:t>
            </w:r>
            <w:r w:rsidR="00A30C8B">
              <w:t>2</w:t>
            </w:r>
            <w:r w:rsidRPr="00DF22C7">
              <w:t>: Transparency and fairness</w:t>
            </w:r>
            <w:r w:rsidR="005513F5">
              <w:t> </w:t>
            </w:r>
            <w:r w:rsidRPr="00DF22C7">
              <w:t>measures</w:t>
            </w:r>
            <w:bookmarkEnd w:id="9"/>
            <w:bookmarkEnd w:id="10"/>
          </w:p>
          <w:p w14:paraId="0DD5E203" w14:textId="40783F02" w:rsidR="00991ED3" w:rsidRPr="00DF22C7" w:rsidRDefault="00991ED3" w:rsidP="00DF22C7">
            <w:pPr>
              <w:pStyle w:val="TableTextLeft"/>
              <w:spacing w:before="120" w:after="120"/>
              <w:rPr>
                <w:sz w:val="20"/>
              </w:rPr>
            </w:pPr>
            <w:r w:rsidRPr="00DF22C7">
              <w:rPr>
                <w:sz w:val="20"/>
              </w:rPr>
              <w:t>That all banks implement five related measures to improve transparency and fairness in relation to de</w:t>
            </w:r>
            <w:r w:rsidR="004B777F">
              <w:rPr>
                <w:sz w:val="20"/>
              </w:rPr>
              <w:noBreakHyphen/>
            </w:r>
            <w:r w:rsidRPr="00DF22C7">
              <w:rPr>
                <w:sz w:val="20"/>
              </w:rPr>
              <w:t>banking. These measures would apply to all instances of de-banking.</w:t>
            </w:r>
          </w:p>
          <w:p w14:paraId="614C3699" w14:textId="77777777" w:rsidR="00991ED3" w:rsidRPr="00DF22C7" w:rsidRDefault="00991ED3" w:rsidP="00DF22C7">
            <w:pPr>
              <w:pStyle w:val="TableTextLeft"/>
              <w:spacing w:before="120" w:after="120"/>
              <w:rPr>
                <w:sz w:val="20"/>
              </w:rPr>
            </w:pPr>
            <w:r w:rsidRPr="00DF22C7">
              <w:rPr>
                <w:sz w:val="20"/>
              </w:rPr>
              <w:t xml:space="preserve">The five measures proposed are: </w:t>
            </w:r>
          </w:p>
          <w:p w14:paraId="43D77D8C" w14:textId="7AD9C983" w:rsidR="00991ED3" w:rsidRPr="00DF22C7" w:rsidRDefault="00991ED3" w:rsidP="005513F5">
            <w:pPr>
              <w:pStyle w:val="Measures"/>
            </w:pPr>
            <w:r w:rsidRPr="00332934">
              <w:rPr>
                <w:b/>
                <w:bCs/>
              </w:rPr>
              <w:t>Measure 1</w:t>
            </w:r>
            <w:r w:rsidRPr="00DF22C7">
              <w:t>:</w:t>
            </w:r>
            <w:r w:rsidR="005513F5">
              <w:tab/>
            </w:r>
            <w:r w:rsidRPr="00DF22C7">
              <w:t>That banks document reasons for de</w:t>
            </w:r>
            <w:r w:rsidR="004B777F">
              <w:noBreakHyphen/>
            </w:r>
            <w:r w:rsidRPr="00DF22C7">
              <w:t xml:space="preserve">banking a </w:t>
            </w:r>
            <w:proofErr w:type="gramStart"/>
            <w:r w:rsidRPr="00DF22C7">
              <w:t>customer</w:t>
            </w:r>
            <w:r w:rsidR="00047334">
              <w:t>;</w:t>
            </w:r>
            <w:proofErr w:type="gramEnd"/>
            <w:r w:rsidRPr="00DF22C7">
              <w:t xml:space="preserve"> </w:t>
            </w:r>
          </w:p>
          <w:p w14:paraId="3CF84844" w14:textId="60EA87C5" w:rsidR="00991ED3" w:rsidRPr="00DF22C7" w:rsidRDefault="00991ED3" w:rsidP="00DF22C7">
            <w:pPr>
              <w:pStyle w:val="Measures"/>
            </w:pPr>
            <w:r w:rsidRPr="00332934">
              <w:rPr>
                <w:b/>
                <w:bCs/>
              </w:rPr>
              <w:t>Measure 2:</w:t>
            </w:r>
            <w:r w:rsidR="005513F5">
              <w:t xml:space="preserve"> </w:t>
            </w:r>
            <w:r w:rsidR="005513F5">
              <w:tab/>
            </w:r>
            <w:r w:rsidRPr="00DF22C7">
              <w:t>That banks provide a customer with reasons for being de-</w:t>
            </w:r>
            <w:proofErr w:type="gramStart"/>
            <w:r w:rsidRPr="00DF22C7">
              <w:t>banked</w:t>
            </w:r>
            <w:r w:rsidR="00047334">
              <w:t>;</w:t>
            </w:r>
            <w:proofErr w:type="gramEnd"/>
          </w:p>
          <w:p w14:paraId="1BF91B77" w14:textId="1B72B643" w:rsidR="00991ED3" w:rsidRPr="00DF22C7" w:rsidRDefault="00991ED3" w:rsidP="00DF22C7">
            <w:pPr>
              <w:pStyle w:val="Measures"/>
            </w:pPr>
            <w:r w:rsidRPr="00332934">
              <w:rPr>
                <w:b/>
                <w:bCs/>
              </w:rPr>
              <w:t>Measure 3:</w:t>
            </w:r>
            <w:r w:rsidR="005513F5">
              <w:t xml:space="preserve"> </w:t>
            </w:r>
            <w:r w:rsidR="005513F5">
              <w:tab/>
            </w:r>
            <w:r w:rsidRPr="00DF22C7">
              <w:t xml:space="preserve">That banks ensure a de-banked customer who is an individual or small business has access to their Internal Dispute Resolution </w:t>
            </w:r>
            <w:proofErr w:type="gramStart"/>
            <w:r w:rsidRPr="00DF22C7">
              <w:t>procedures</w:t>
            </w:r>
            <w:r w:rsidR="00047334">
              <w:t>;</w:t>
            </w:r>
            <w:proofErr w:type="gramEnd"/>
            <w:r w:rsidRPr="00DF22C7">
              <w:t xml:space="preserve"> </w:t>
            </w:r>
          </w:p>
          <w:p w14:paraId="3E9F7800" w14:textId="00ACF228" w:rsidR="00991ED3" w:rsidRPr="00DF22C7" w:rsidRDefault="00991ED3" w:rsidP="00DF22C7">
            <w:pPr>
              <w:pStyle w:val="Measures"/>
            </w:pPr>
            <w:r w:rsidRPr="00332934">
              <w:rPr>
                <w:b/>
                <w:bCs/>
              </w:rPr>
              <w:t>Measure 4:</w:t>
            </w:r>
            <w:r w:rsidR="005513F5" w:rsidRPr="00332934">
              <w:rPr>
                <w:b/>
                <w:bCs/>
              </w:rPr>
              <w:t xml:space="preserve"> </w:t>
            </w:r>
            <w:r w:rsidR="005513F5">
              <w:tab/>
            </w:r>
            <w:r w:rsidRPr="00DF22C7">
              <w:t>That banks provide a minimum of 30</w:t>
            </w:r>
            <w:r w:rsidR="004B777F">
              <w:t> </w:t>
            </w:r>
            <w:r w:rsidRPr="00DF22C7">
              <w:t>days’ notice before closing existing core banking services of a customer. This</w:t>
            </w:r>
            <w:r w:rsidR="004B777F">
              <w:t> </w:t>
            </w:r>
            <w:r w:rsidRPr="00DF22C7">
              <w:t>account closure notice should also inform the customer that they may access the bank’s Internal Dispute Resolution procedures</w:t>
            </w:r>
            <w:r w:rsidR="00047334">
              <w:t>; and</w:t>
            </w:r>
            <w:r w:rsidRPr="00DF22C7">
              <w:t xml:space="preserve"> </w:t>
            </w:r>
          </w:p>
          <w:p w14:paraId="07BC718A" w14:textId="6D950C0E" w:rsidR="00991ED3" w:rsidRPr="00DF22C7" w:rsidRDefault="00991ED3" w:rsidP="00DF22C7">
            <w:pPr>
              <w:pStyle w:val="Measures"/>
            </w:pPr>
            <w:r w:rsidRPr="00332934">
              <w:rPr>
                <w:b/>
                <w:bCs/>
              </w:rPr>
              <w:t>Measure 5:</w:t>
            </w:r>
            <w:r w:rsidR="005513F5" w:rsidRPr="00332934">
              <w:rPr>
                <w:b/>
                <w:bCs/>
              </w:rPr>
              <w:t xml:space="preserve"> </w:t>
            </w:r>
            <w:r w:rsidR="005513F5" w:rsidRPr="00332934">
              <w:rPr>
                <w:b/>
                <w:bCs/>
              </w:rPr>
              <w:tab/>
            </w:r>
            <w:r w:rsidRPr="00DF22C7">
              <w:t>That banks self-certify adherence to measures 1</w:t>
            </w:r>
            <w:r w:rsidR="00332934">
              <w:t>–</w:t>
            </w:r>
            <w:r w:rsidRPr="00DF22C7">
              <w:t>4.</w:t>
            </w:r>
          </w:p>
        </w:tc>
        <w:tc>
          <w:tcPr>
            <w:tcW w:w="2500" w:type="pct"/>
          </w:tcPr>
          <w:p w14:paraId="4579F234" w14:textId="71A7288E" w:rsidR="00991ED3" w:rsidRPr="00DF22C7" w:rsidRDefault="00991ED3" w:rsidP="00DF22C7">
            <w:pPr>
              <w:pStyle w:val="TableTextLeft"/>
              <w:spacing w:before="120" w:after="120"/>
              <w:rPr>
                <w:sz w:val="20"/>
              </w:rPr>
            </w:pPr>
            <w:r w:rsidRPr="00DF22C7">
              <w:rPr>
                <w:sz w:val="20"/>
              </w:rPr>
              <w:t xml:space="preserve">The Government </w:t>
            </w:r>
            <w:r w:rsidRPr="00DF22C7">
              <w:rPr>
                <w:b/>
                <w:bCs/>
                <w:sz w:val="20"/>
              </w:rPr>
              <w:t>supports</w:t>
            </w:r>
            <w:r w:rsidRPr="00DF22C7">
              <w:rPr>
                <w:sz w:val="20"/>
              </w:rPr>
              <w:t xml:space="preserve"> this recommendation in</w:t>
            </w:r>
            <w:r w:rsidR="004B777F">
              <w:rPr>
                <w:sz w:val="20"/>
              </w:rPr>
              <w:t> </w:t>
            </w:r>
            <w:r w:rsidRPr="00DF22C7">
              <w:rPr>
                <w:sz w:val="20"/>
              </w:rPr>
              <w:t>principle.</w:t>
            </w:r>
          </w:p>
          <w:p w14:paraId="724D80B7" w14:textId="77777777" w:rsidR="00991ED3" w:rsidRPr="00DF22C7" w:rsidRDefault="00991ED3" w:rsidP="00DF22C7">
            <w:pPr>
              <w:pStyle w:val="TableTextLeft"/>
              <w:spacing w:before="120" w:after="120"/>
              <w:rPr>
                <w:sz w:val="20"/>
              </w:rPr>
            </w:pPr>
            <w:r w:rsidRPr="00DF22C7">
              <w:rPr>
                <w:sz w:val="20"/>
              </w:rPr>
              <w:t>The Government views these measures to be important to addressing some of the main frustrations experienced by affected businesses.</w:t>
            </w:r>
          </w:p>
          <w:p w14:paraId="224FE5CB" w14:textId="77777777" w:rsidR="00991ED3" w:rsidRPr="00DF22C7" w:rsidRDefault="00991ED3" w:rsidP="00DF22C7">
            <w:pPr>
              <w:pStyle w:val="TableTextLeft"/>
              <w:spacing w:before="120" w:after="120"/>
              <w:rPr>
                <w:sz w:val="20"/>
              </w:rPr>
            </w:pPr>
            <w:r w:rsidRPr="00DF22C7">
              <w:rPr>
                <w:sz w:val="20"/>
              </w:rPr>
              <w:t xml:space="preserve">Treasury will work with banks and AUSTRAC to ensure the measures in this recommendation are implemented to the greatest extent possible. </w:t>
            </w:r>
          </w:p>
          <w:p w14:paraId="635C7833" w14:textId="77777777" w:rsidR="00991ED3" w:rsidRPr="00DF22C7" w:rsidRDefault="00991ED3" w:rsidP="00DF22C7">
            <w:pPr>
              <w:pStyle w:val="TableTextLeft"/>
              <w:spacing w:before="120" w:after="120"/>
              <w:rPr>
                <w:sz w:val="20"/>
              </w:rPr>
            </w:pPr>
          </w:p>
        </w:tc>
      </w:tr>
    </w:tbl>
    <w:p w14:paraId="4A897045" w14:textId="77777777" w:rsidR="00DF22C7" w:rsidRDefault="00DF22C7">
      <w:r>
        <w:br w:type="page"/>
      </w:r>
    </w:p>
    <w:tbl>
      <w:tblPr>
        <w:tblStyle w:val="TableGridLight"/>
        <w:tblW w:w="5000" w:type="pct"/>
        <w:tblLook w:val="01E0" w:firstRow="1" w:lastRow="1" w:firstColumn="1" w:lastColumn="1" w:noHBand="0" w:noVBand="0"/>
      </w:tblPr>
      <w:tblGrid>
        <w:gridCol w:w="4530"/>
        <w:gridCol w:w="4530"/>
      </w:tblGrid>
      <w:tr w:rsidR="00DF22C7" w14:paraId="4CC85326" w14:textId="77777777" w:rsidTr="00DF22C7">
        <w:trPr>
          <w:trHeight w:val="454"/>
          <w:tblHeader/>
        </w:trPr>
        <w:tc>
          <w:tcPr>
            <w:tcW w:w="2500" w:type="pct"/>
            <w:shd w:val="clear" w:color="auto" w:fill="F8F8F8" w:themeFill="background2"/>
            <w:vAlign w:val="center"/>
          </w:tcPr>
          <w:p w14:paraId="772BE11B" w14:textId="07C39F4A" w:rsidR="00DF22C7" w:rsidRPr="00DF22C7" w:rsidRDefault="00DF22C7" w:rsidP="00A30C8B">
            <w:pPr>
              <w:pStyle w:val="TableColumnHeadingLeft"/>
              <w:spacing w:after="60"/>
            </w:pPr>
            <w:r w:rsidRPr="00DF22C7">
              <w:lastRenderedPageBreak/>
              <w:br w:type="page"/>
              <w:t>Recommendation</w:t>
            </w:r>
          </w:p>
        </w:tc>
        <w:tc>
          <w:tcPr>
            <w:tcW w:w="2500" w:type="pct"/>
            <w:shd w:val="clear" w:color="auto" w:fill="F8F8F8" w:themeFill="background2"/>
            <w:vAlign w:val="center"/>
          </w:tcPr>
          <w:p w14:paraId="6967C39D" w14:textId="76C2851D" w:rsidR="00DF22C7" w:rsidRPr="00DF22C7" w:rsidRDefault="00DF22C7" w:rsidP="00A30C8B">
            <w:pPr>
              <w:pStyle w:val="TableColumnHeadingLeft"/>
              <w:spacing w:after="60"/>
            </w:pPr>
            <w:r w:rsidRPr="00DF22C7">
              <w:t>Government response</w:t>
            </w:r>
          </w:p>
        </w:tc>
      </w:tr>
      <w:tr w:rsidR="00EE2A34" w14:paraId="17F8BE50" w14:textId="77777777" w:rsidTr="00DF22C7">
        <w:trPr>
          <w:tblHeader/>
        </w:trPr>
        <w:tc>
          <w:tcPr>
            <w:tcW w:w="2500" w:type="pct"/>
          </w:tcPr>
          <w:p w14:paraId="02DA1A94" w14:textId="77D5E52B" w:rsidR="00EE2A34" w:rsidRPr="00DF22C7" w:rsidRDefault="00EE2A34" w:rsidP="00332934">
            <w:pPr>
              <w:pStyle w:val="Tablerecommendation"/>
            </w:pPr>
            <w:bookmarkStart w:id="11" w:name="_Toc137115841"/>
            <w:bookmarkStart w:id="12" w:name="_Toc137723734"/>
            <w:r w:rsidRPr="00DF22C7">
              <w:t xml:space="preserve">Recommendation </w:t>
            </w:r>
            <w:r w:rsidR="00A30C8B">
              <w:t>3</w:t>
            </w:r>
            <w:r w:rsidRPr="00DF22C7">
              <w:t>: Guidance by specified</w:t>
            </w:r>
            <w:r w:rsidR="004B777F">
              <w:t> </w:t>
            </w:r>
            <w:r w:rsidRPr="00DF22C7">
              <w:t>banks</w:t>
            </w:r>
            <w:bookmarkEnd w:id="11"/>
            <w:bookmarkEnd w:id="12"/>
          </w:p>
          <w:p w14:paraId="782B696F" w14:textId="043A490E" w:rsidR="00EE2A34" w:rsidRPr="00DF22C7" w:rsidRDefault="00EE2A34" w:rsidP="00DF22C7">
            <w:pPr>
              <w:pStyle w:val="TableTextLeft"/>
              <w:spacing w:before="120" w:after="120"/>
              <w:rPr>
                <w:sz w:val="20"/>
              </w:rPr>
            </w:pPr>
            <w:r w:rsidRPr="00DF22C7">
              <w:rPr>
                <w:sz w:val="20"/>
              </w:rPr>
              <w:t>That the four major banks be advised of the Government’s expectations that they publish guidance applicable to the digital currency exchanges (DCE), FinTech and remittance sectors concerning their risk tolerance and their requirements to bank these sectors.</w:t>
            </w:r>
          </w:p>
        </w:tc>
        <w:tc>
          <w:tcPr>
            <w:tcW w:w="2500" w:type="pct"/>
          </w:tcPr>
          <w:p w14:paraId="4B1154C9" w14:textId="77777777" w:rsidR="00EE2A34" w:rsidRPr="00DF22C7" w:rsidRDefault="00EE2A34" w:rsidP="00DF22C7">
            <w:pPr>
              <w:pStyle w:val="TableTextLeft"/>
              <w:spacing w:before="120" w:after="120"/>
              <w:rPr>
                <w:sz w:val="20"/>
              </w:rPr>
            </w:pPr>
            <w:r w:rsidRPr="00DF22C7">
              <w:rPr>
                <w:sz w:val="20"/>
              </w:rPr>
              <w:t xml:space="preserve">The Government </w:t>
            </w:r>
            <w:r w:rsidRPr="00DF22C7">
              <w:rPr>
                <w:b/>
                <w:bCs/>
                <w:sz w:val="20"/>
              </w:rPr>
              <w:t>supports</w:t>
            </w:r>
            <w:r w:rsidRPr="00DF22C7">
              <w:rPr>
                <w:sz w:val="20"/>
              </w:rPr>
              <w:t xml:space="preserve"> this recommendation in principle.</w:t>
            </w:r>
          </w:p>
          <w:p w14:paraId="72EE846A" w14:textId="77777777" w:rsidR="00EE2A34" w:rsidRPr="00DF22C7" w:rsidRDefault="00EE2A34" w:rsidP="00DF22C7">
            <w:pPr>
              <w:pStyle w:val="TableTextLeft"/>
              <w:spacing w:before="120" w:after="120"/>
              <w:rPr>
                <w:sz w:val="20"/>
              </w:rPr>
            </w:pPr>
            <w:r w:rsidRPr="00DF22C7">
              <w:rPr>
                <w:sz w:val="20"/>
              </w:rPr>
              <w:t xml:space="preserve">The Government expects banks to communicate their requirements to both existing and potential customers clearly and proactively prior to refusing or withdrawing banking services. The Government also encourages the major banks to publish information on their requirements and risk tolerance of the DCE, FinTech and remittance sectors. </w:t>
            </w:r>
          </w:p>
          <w:p w14:paraId="3478C3B5" w14:textId="77777777" w:rsidR="00EE2A34" w:rsidRPr="00DF22C7" w:rsidRDefault="00EE2A34" w:rsidP="00DF22C7">
            <w:pPr>
              <w:pStyle w:val="TableTextLeft"/>
              <w:spacing w:before="120" w:after="120"/>
              <w:rPr>
                <w:sz w:val="20"/>
              </w:rPr>
            </w:pPr>
          </w:p>
        </w:tc>
      </w:tr>
      <w:tr w:rsidR="00EE2A34" w14:paraId="63523088" w14:textId="77777777" w:rsidTr="00DF22C7">
        <w:trPr>
          <w:tblHeader/>
        </w:trPr>
        <w:tc>
          <w:tcPr>
            <w:tcW w:w="2500" w:type="pct"/>
          </w:tcPr>
          <w:p w14:paraId="5DC8ED50" w14:textId="0DAD13B8" w:rsidR="00EE2A34" w:rsidRPr="00DF22C7" w:rsidRDefault="00EE2A34" w:rsidP="00332934">
            <w:pPr>
              <w:pStyle w:val="Tablerecommendation"/>
            </w:pPr>
            <w:bookmarkStart w:id="13" w:name="_Toc137115842"/>
            <w:bookmarkStart w:id="14" w:name="_Toc137723735"/>
            <w:r w:rsidRPr="00DF22C7">
              <w:t xml:space="preserve">Recommendation </w:t>
            </w:r>
            <w:r w:rsidR="00A30C8B">
              <w:t>4</w:t>
            </w:r>
            <w:r w:rsidRPr="00DF22C7">
              <w:t>: Capability uplift</w:t>
            </w:r>
            <w:bookmarkEnd w:id="13"/>
            <w:bookmarkEnd w:id="14"/>
          </w:p>
          <w:p w14:paraId="3C890011" w14:textId="004507CF" w:rsidR="00EE2A34" w:rsidRPr="00DF22C7" w:rsidRDefault="00EE2A34" w:rsidP="00DF22C7">
            <w:pPr>
              <w:pStyle w:val="TableTextLeft"/>
              <w:spacing w:before="120" w:after="120"/>
              <w:rPr>
                <w:sz w:val="20"/>
              </w:rPr>
            </w:pPr>
            <w:r w:rsidRPr="00DF22C7">
              <w:rPr>
                <w:sz w:val="20"/>
              </w:rPr>
              <w:t>That consideration be given by Government to funding targeted education, outreach and guidance to the FinTech, DCE and remittance sectors. If the Government is interested in pursuing capability uplift, the Participating Agencies can advise on implementation options.</w:t>
            </w:r>
          </w:p>
        </w:tc>
        <w:tc>
          <w:tcPr>
            <w:tcW w:w="2500" w:type="pct"/>
          </w:tcPr>
          <w:p w14:paraId="013B5085" w14:textId="77777777" w:rsidR="00EE2A34" w:rsidRPr="00DF22C7" w:rsidRDefault="00EE2A34" w:rsidP="00DF22C7">
            <w:pPr>
              <w:pStyle w:val="TableTextLeft"/>
              <w:spacing w:before="120" w:after="120"/>
              <w:rPr>
                <w:sz w:val="20"/>
              </w:rPr>
            </w:pPr>
            <w:r w:rsidRPr="00DF22C7">
              <w:rPr>
                <w:sz w:val="20"/>
              </w:rPr>
              <w:t xml:space="preserve">The Government </w:t>
            </w:r>
            <w:r w:rsidRPr="00DF22C7">
              <w:rPr>
                <w:b/>
                <w:bCs/>
                <w:sz w:val="20"/>
              </w:rPr>
              <w:t>notes</w:t>
            </w:r>
            <w:r w:rsidRPr="00DF22C7">
              <w:rPr>
                <w:sz w:val="20"/>
              </w:rPr>
              <w:t xml:space="preserve"> this recommendation.</w:t>
            </w:r>
          </w:p>
          <w:p w14:paraId="5B8CA697" w14:textId="77777777" w:rsidR="00EE2A34" w:rsidRPr="00DF22C7" w:rsidRDefault="00EE2A34" w:rsidP="00DF22C7">
            <w:pPr>
              <w:pStyle w:val="TableTextLeft"/>
              <w:spacing w:before="120" w:after="120"/>
              <w:rPr>
                <w:sz w:val="20"/>
              </w:rPr>
            </w:pPr>
            <w:r w:rsidRPr="00DF22C7">
              <w:rPr>
                <w:sz w:val="20"/>
              </w:rPr>
              <w:t xml:space="preserve">The Government supports the objectives of this recommendation and recognises the potential that capability uplift may have. </w:t>
            </w:r>
          </w:p>
          <w:p w14:paraId="3DDFCDC1" w14:textId="77777777" w:rsidR="00EE2A34" w:rsidRPr="00DF22C7" w:rsidRDefault="00EE2A34" w:rsidP="00DF22C7">
            <w:pPr>
              <w:pStyle w:val="TableTextLeft"/>
              <w:spacing w:before="120" w:after="120"/>
              <w:rPr>
                <w:sz w:val="20"/>
              </w:rPr>
            </w:pPr>
            <w:r w:rsidRPr="00DF22C7">
              <w:rPr>
                <w:sz w:val="20"/>
              </w:rPr>
              <w:t>Since early 2021, AUSTRAC has conducted a range of education and guidance activities with the remittance, DCE and FinTech sectors. This includes engagement and capacity building activities such as the regular provision of induction webinars and workshops, publishing guidance products and conducting targeted education campaigns. AUSTRAC has also enhanced its registration processes for these sectors, increasing the emphasis on probity and assessing technical capacity to comply with AML/CTF obligations. AUSTRAC also conducts ongoing compliance campaigns to build regulated entities’ understanding and assess their level of compliance with AML/CTF obligations.</w:t>
            </w:r>
          </w:p>
          <w:p w14:paraId="4DE5391B" w14:textId="77777777" w:rsidR="00EE2A34" w:rsidRPr="00DF22C7" w:rsidRDefault="00EE2A34" w:rsidP="00DF22C7">
            <w:pPr>
              <w:pStyle w:val="TableTextLeft"/>
              <w:spacing w:before="120" w:after="120"/>
              <w:rPr>
                <w:sz w:val="20"/>
              </w:rPr>
            </w:pPr>
            <w:r w:rsidRPr="00DF22C7">
              <w:rPr>
                <w:sz w:val="20"/>
              </w:rPr>
              <w:t xml:space="preserve">The Government continually reviews Australia’s AML/CTF regime in line with Financial Action Task Force international standards to ensure that it remains fit for purpose and effective. Funding of targeted education, outreach and guidance to the FinTech, DCE and remittance sectors may be considered by the Government as part of any future initiatives. </w:t>
            </w:r>
          </w:p>
          <w:p w14:paraId="6ED45873" w14:textId="6DCCB266" w:rsidR="00EE2A34" w:rsidRPr="00DF22C7" w:rsidRDefault="00EE2A34" w:rsidP="00DF22C7">
            <w:pPr>
              <w:pStyle w:val="TableTextLeft"/>
              <w:spacing w:before="120" w:after="120"/>
              <w:rPr>
                <w:sz w:val="20"/>
              </w:rPr>
            </w:pPr>
            <w:r w:rsidRPr="00DF22C7">
              <w:rPr>
                <w:sz w:val="20"/>
              </w:rPr>
              <w:t>In addition, the Government has announced its intention to license payment providers and DCEs as part of its modernisation of Australia’s financial system. Licensing these entities is also expected to uplift the capability of these sectors over time.</w:t>
            </w:r>
          </w:p>
        </w:tc>
      </w:tr>
    </w:tbl>
    <w:p w14:paraId="1D943343" w14:textId="77777777" w:rsidR="004F2ACB" w:rsidRPr="004F2ACB" w:rsidRDefault="004F2ACB" w:rsidP="004F2ACB"/>
    <w:sectPr w:rsidR="004F2ACB" w:rsidRPr="004F2ACB" w:rsidSect="00A31E7B">
      <w:headerReference w:type="even" r:id="rId16"/>
      <w:headerReference w:type="default" r:id="rId17"/>
      <w:footerReference w:type="even" r:id="rId18"/>
      <w:footerReference w:type="default" r:id="rId19"/>
      <w:headerReference w:type="first" r:id="rId20"/>
      <w:footerReference w:type="first" r:id="rId21"/>
      <w:pgSz w:w="11906" w:h="16838" w:code="9"/>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335B" w14:textId="77777777" w:rsidR="00333C22" w:rsidRDefault="00333C22">
      <w:pPr>
        <w:spacing w:before="0" w:after="0"/>
      </w:pPr>
      <w:r>
        <w:separator/>
      </w:r>
    </w:p>
  </w:endnote>
  <w:endnote w:type="continuationSeparator" w:id="0">
    <w:p w14:paraId="556F8893" w14:textId="77777777" w:rsidR="00333C22" w:rsidRDefault="00333C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5207" w14:textId="15F2BA37" w:rsidR="00D329F1" w:rsidRPr="0008212F" w:rsidRDefault="00D329F1" w:rsidP="0008212F">
    <w:pPr>
      <w:pStyle w:val="FooterOdd"/>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49C1" w14:textId="68AB47CF" w:rsidR="00C60B0F" w:rsidRPr="0008212F" w:rsidRDefault="0008212F" w:rsidP="0008212F">
    <w:pPr>
      <w:pStyle w:val="FooterOdd"/>
      <w:jc w:val="left"/>
    </w:pPr>
    <w:r>
      <w:fldChar w:fldCharType="begin"/>
    </w:r>
    <w:r>
      <w:instrText xml:space="preserve"> PAGE   \* MERGEFORMAT </w:instrText>
    </w:r>
    <w:r>
      <w:fldChar w:fldCharType="separate"/>
    </w:r>
    <w:r>
      <w:t>2</w:t>
    </w:r>
    <w:r>
      <w:fldChar w:fldCharType="end"/>
    </w:r>
    <w:r>
      <w:t xml:space="preserve"> | </w:t>
    </w:r>
    <w:r w:rsidR="00DA419D">
      <w:fldChar w:fldCharType="begin"/>
    </w:r>
    <w:r w:rsidR="00DA419D">
      <w:instrText xml:space="preserve"> STYLEREF  "Heading 1"  \* MERGEFORMAT </w:instrText>
    </w:r>
    <w:r w:rsidR="00DA419D">
      <w:fldChar w:fldCharType="separate"/>
    </w:r>
    <w:r w:rsidR="00DA419D">
      <w:rPr>
        <w:noProof/>
      </w:rPr>
      <w:t>Response to recommendations</w:t>
    </w:r>
    <w:r w:rsidR="00DA419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55E7" w14:textId="7FBFF456" w:rsidR="00C60B0F" w:rsidRPr="0008212F" w:rsidRDefault="0008212F" w:rsidP="0008212F">
    <w:pPr>
      <w:pStyle w:val="FooterOdd"/>
      <w:jc w:val="left"/>
    </w:pPr>
    <w:r>
      <w:fldChar w:fldCharType="begin"/>
    </w:r>
    <w:r>
      <w:instrText xml:space="preserve"> PAGE   \* MERGEFORMAT </w:instrText>
    </w:r>
    <w:r>
      <w:fldChar w:fldCharType="separate"/>
    </w:r>
    <w:r>
      <w:t>2</w:t>
    </w:r>
    <w:r>
      <w:fldChar w:fldCharType="end"/>
    </w:r>
    <w:r>
      <w:t xml:space="preserve"> | </w:t>
    </w:r>
    <w:r w:rsidR="00DA419D">
      <w:fldChar w:fldCharType="begin"/>
    </w:r>
    <w:r w:rsidR="00DA419D">
      <w:instrText xml:space="preserve"> STYLEREF  "Heading 1"  \* MERGEFORMAT </w:instrText>
    </w:r>
    <w:r w:rsidR="00DA419D">
      <w:fldChar w:fldCharType="separate"/>
    </w:r>
    <w:r w:rsidR="00DA419D">
      <w:rPr>
        <w:noProof/>
      </w:rPr>
      <w:t>Response to recommendations</w:t>
    </w:r>
    <w:r w:rsidR="00DA419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FDA0" w14:textId="77777777" w:rsidR="00C60B0F" w:rsidRDefault="00C6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17DC" w14:textId="77777777" w:rsidR="00333C22" w:rsidRPr="00ED5A20" w:rsidRDefault="00333C22" w:rsidP="000F6233">
      <w:pPr>
        <w:rPr>
          <w:color w:val="B2B2B2" w:themeColor="accent2"/>
        </w:rPr>
      </w:pPr>
      <w:r w:rsidRPr="00ED5A20">
        <w:rPr>
          <w:color w:val="B2B2B2" w:themeColor="accent2"/>
        </w:rPr>
        <w:separator/>
      </w:r>
    </w:p>
  </w:footnote>
  <w:footnote w:type="continuationSeparator" w:id="0">
    <w:p w14:paraId="7F22C529" w14:textId="77777777" w:rsidR="00333C22" w:rsidRPr="00B737EB" w:rsidRDefault="00333C22">
      <w:pPr>
        <w:spacing w:before="0" w:after="0"/>
        <w:rPr>
          <w:color w:val="E6E6E6" w:themeColor="accent1"/>
        </w:rPr>
      </w:pPr>
      <w:r w:rsidRPr="00B737EB">
        <w:rPr>
          <w:color w:val="E6E6E6"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892F" w14:textId="1165C863" w:rsidR="00B55B04" w:rsidRPr="00AB738A" w:rsidRDefault="00F50241" w:rsidP="00AB738A">
    <w:pPr>
      <w:pStyle w:val="HeaderOdd"/>
    </w:pPr>
    <w:r>
      <w:rPr>
        <w:noProof/>
      </w:rPr>
      <w:drawing>
        <wp:anchor distT="0" distB="0" distL="114300" distR="114300" simplePos="0" relativeHeight="251659264" behindDoc="1" locked="0" layoutInCell="1" allowOverlap="1" wp14:anchorId="08C53FD5" wp14:editId="35C01796">
          <wp:simplePos x="0" y="0"/>
          <wp:positionH relativeFrom="page">
            <wp:align>center</wp:align>
          </wp:positionH>
          <wp:positionV relativeFrom="page">
            <wp:align>center</wp:align>
          </wp:positionV>
          <wp:extent cx="75564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4CF3" w14:textId="5B2EDC4D" w:rsidR="00C60B0F" w:rsidRPr="00647692" w:rsidRDefault="00DA419D" w:rsidP="0008212F">
    <w:pPr>
      <w:pStyle w:val="HeaderEven"/>
    </w:pPr>
    <w:r>
      <w:fldChar w:fldCharType="begin"/>
    </w:r>
    <w:r>
      <w:instrText xml:space="preserve"> STYLEREF  Title  \* MERGEFORMAT </w:instrText>
    </w:r>
    <w:r>
      <w:fldChar w:fldCharType="separate"/>
    </w:r>
    <w:r>
      <w:rPr>
        <w:noProof/>
      </w:rPr>
      <w:t>Government Response: Potential Policy Responses to De-banking in Australia</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321F" w14:textId="14499A5A" w:rsidR="00C60B0F" w:rsidRPr="00F60198" w:rsidRDefault="00DA419D" w:rsidP="0008212F">
    <w:pPr>
      <w:pStyle w:val="HeaderOdd"/>
      <w:jc w:val="left"/>
    </w:pPr>
    <w:r>
      <w:fldChar w:fldCharType="begin"/>
    </w:r>
    <w:r>
      <w:instrText xml:space="preserve"> STYLEREF  Title  \* MERGEFORMAT </w:instrText>
    </w:r>
    <w:r>
      <w:fldChar w:fldCharType="separate"/>
    </w:r>
    <w:r>
      <w:rPr>
        <w:noProof/>
      </w:rPr>
      <w:t>Government Response: Potential Policy Responses to De-banking in Australia</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B6CA" w14:textId="77777777" w:rsidR="00C60B0F" w:rsidRDefault="00C6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2.5pt;height:16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8"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5"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D6B5224"/>
    <w:multiLevelType w:val="multilevel"/>
    <w:tmpl w:val="D0025D30"/>
    <w:name w:val="StandardBulletedList"/>
    <w:lvl w:ilvl="0">
      <w:start w:val="1"/>
      <w:numFmt w:val="bullet"/>
      <w:pStyle w:val="Bullet"/>
      <w:lvlText w:val="•"/>
      <w:lvlJc w:val="left"/>
      <w:pPr>
        <w:tabs>
          <w:tab w:val="num" w:pos="520"/>
        </w:tabs>
        <w:ind w:left="284" w:hanging="284"/>
      </w:pPr>
      <w:rPr>
        <w:rFonts w:ascii="Times New Roman" w:hAnsi="Times New Roman" w:cs="Times New Roman" w:hint="default"/>
        <w:color w:val="auto"/>
      </w:rPr>
    </w:lvl>
    <w:lvl w:ilvl="1">
      <w:start w:val="1"/>
      <w:numFmt w:val="bullet"/>
      <w:pStyle w:val="Dash"/>
      <w:lvlText w:val="–"/>
      <w:lvlJc w:val="left"/>
      <w:pPr>
        <w:tabs>
          <w:tab w:val="num" w:pos="804"/>
        </w:tabs>
        <w:ind w:left="568" w:hanging="284"/>
      </w:pPr>
      <w:rPr>
        <w:rFonts w:ascii="Times New Roman" w:hAnsi="Times New Roman" w:cs="Times New Roman" w:hint="default"/>
      </w:rPr>
    </w:lvl>
    <w:lvl w:ilvl="2">
      <w:start w:val="1"/>
      <w:numFmt w:val="bullet"/>
      <w:pStyle w:val="DoubleDo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8"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7"/>
  </w:num>
  <w:num w:numId="2">
    <w:abstractNumId w:val="0"/>
  </w:num>
  <w:num w:numId="3">
    <w:abstractNumId w:val="10"/>
  </w:num>
  <w:num w:numId="4">
    <w:abstractNumId w:val="2"/>
  </w:num>
  <w:num w:numId="5">
    <w:abstractNumId w:val="3"/>
  </w:num>
  <w:num w:numId="6">
    <w:abstractNumId w:val="12"/>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8"/>
  </w:num>
  <w:num w:numId="12">
    <w:abstractNumId w:val="12"/>
  </w:num>
  <w:num w:numId="13">
    <w:abstractNumId w:val="19"/>
  </w:num>
  <w:num w:numId="14">
    <w:abstractNumId w:val="11"/>
  </w:num>
  <w:num w:numId="15">
    <w:abstractNumId w:val="5"/>
  </w:num>
  <w:num w:numId="16">
    <w:abstractNumId w:val="15"/>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45"/>
    <w:rsid w:val="00011725"/>
    <w:rsid w:val="00012C62"/>
    <w:rsid w:val="0001396A"/>
    <w:rsid w:val="0002544D"/>
    <w:rsid w:val="0003540B"/>
    <w:rsid w:val="0004274D"/>
    <w:rsid w:val="00043348"/>
    <w:rsid w:val="0004483F"/>
    <w:rsid w:val="00046CB4"/>
    <w:rsid w:val="00047334"/>
    <w:rsid w:val="0005138B"/>
    <w:rsid w:val="000522B7"/>
    <w:rsid w:val="00053717"/>
    <w:rsid w:val="00056880"/>
    <w:rsid w:val="000675D1"/>
    <w:rsid w:val="00073521"/>
    <w:rsid w:val="000775DE"/>
    <w:rsid w:val="0008212F"/>
    <w:rsid w:val="00087FAF"/>
    <w:rsid w:val="000A3675"/>
    <w:rsid w:val="000B093F"/>
    <w:rsid w:val="000B302A"/>
    <w:rsid w:val="000C571D"/>
    <w:rsid w:val="000C5F40"/>
    <w:rsid w:val="000E0B74"/>
    <w:rsid w:val="000E727D"/>
    <w:rsid w:val="000E7901"/>
    <w:rsid w:val="000F19AB"/>
    <w:rsid w:val="000F6233"/>
    <w:rsid w:val="00131DC3"/>
    <w:rsid w:val="00135E4C"/>
    <w:rsid w:val="001373F5"/>
    <w:rsid w:val="001515FD"/>
    <w:rsid w:val="001574C0"/>
    <w:rsid w:val="001606CF"/>
    <w:rsid w:val="0016128D"/>
    <w:rsid w:val="00164599"/>
    <w:rsid w:val="00165C2A"/>
    <w:rsid w:val="0017089D"/>
    <w:rsid w:val="001805A8"/>
    <w:rsid w:val="0019101A"/>
    <w:rsid w:val="00191CFE"/>
    <w:rsid w:val="00195C8E"/>
    <w:rsid w:val="00195CBF"/>
    <w:rsid w:val="001972D2"/>
    <w:rsid w:val="001C358D"/>
    <w:rsid w:val="001C40A0"/>
    <w:rsid w:val="001D37CB"/>
    <w:rsid w:val="001F0DF8"/>
    <w:rsid w:val="001F1B27"/>
    <w:rsid w:val="00221EC0"/>
    <w:rsid w:val="00223728"/>
    <w:rsid w:val="00231049"/>
    <w:rsid w:val="002314D2"/>
    <w:rsid w:val="0023305C"/>
    <w:rsid w:val="00241881"/>
    <w:rsid w:val="0024294C"/>
    <w:rsid w:val="002461BA"/>
    <w:rsid w:val="00247C24"/>
    <w:rsid w:val="002543D8"/>
    <w:rsid w:val="0025652F"/>
    <w:rsid w:val="002608F1"/>
    <w:rsid w:val="00263B6C"/>
    <w:rsid w:val="00272939"/>
    <w:rsid w:val="0027590B"/>
    <w:rsid w:val="00285969"/>
    <w:rsid w:val="00295B30"/>
    <w:rsid w:val="00296BB1"/>
    <w:rsid w:val="002A25B8"/>
    <w:rsid w:val="002A74EF"/>
    <w:rsid w:val="002A7A31"/>
    <w:rsid w:val="002B3829"/>
    <w:rsid w:val="002C22EF"/>
    <w:rsid w:val="002E1FB6"/>
    <w:rsid w:val="002E454C"/>
    <w:rsid w:val="002F26A5"/>
    <w:rsid w:val="002F617F"/>
    <w:rsid w:val="00300109"/>
    <w:rsid w:val="00301755"/>
    <w:rsid w:val="0030665E"/>
    <w:rsid w:val="00306894"/>
    <w:rsid w:val="003122F4"/>
    <w:rsid w:val="003268D5"/>
    <w:rsid w:val="00332934"/>
    <w:rsid w:val="00333C22"/>
    <w:rsid w:val="00334176"/>
    <w:rsid w:val="0033755F"/>
    <w:rsid w:val="003448F6"/>
    <w:rsid w:val="00350388"/>
    <w:rsid w:val="00350759"/>
    <w:rsid w:val="00354D27"/>
    <w:rsid w:val="0035738A"/>
    <w:rsid w:val="00375655"/>
    <w:rsid w:val="003858A6"/>
    <w:rsid w:val="0039150C"/>
    <w:rsid w:val="00392DCC"/>
    <w:rsid w:val="00397BB5"/>
    <w:rsid w:val="003A289D"/>
    <w:rsid w:val="003A5B36"/>
    <w:rsid w:val="003C24B4"/>
    <w:rsid w:val="003C6534"/>
    <w:rsid w:val="003E20D6"/>
    <w:rsid w:val="003E4D87"/>
    <w:rsid w:val="00401082"/>
    <w:rsid w:val="00410819"/>
    <w:rsid w:val="004114CC"/>
    <w:rsid w:val="00412369"/>
    <w:rsid w:val="00416762"/>
    <w:rsid w:val="00416E55"/>
    <w:rsid w:val="00421955"/>
    <w:rsid w:val="004233EB"/>
    <w:rsid w:val="0042518A"/>
    <w:rsid w:val="004276A0"/>
    <w:rsid w:val="00437EE9"/>
    <w:rsid w:val="00444A63"/>
    <w:rsid w:val="00445265"/>
    <w:rsid w:val="004559CE"/>
    <w:rsid w:val="00460E1A"/>
    <w:rsid w:val="00463DF8"/>
    <w:rsid w:val="00475085"/>
    <w:rsid w:val="00476CF6"/>
    <w:rsid w:val="00477AA8"/>
    <w:rsid w:val="00492FCB"/>
    <w:rsid w:val="00497F86"/>
    <w:rsid w:val="004A0F11"/>
    <w:rsid w:val="004A3EAA"/>
    <w:rsid w:val="004A7D97"/>
    <w:rsid w:val="004B5133"/>
    <w:rsid w:val="004B777F"/>
    <w:rsid w:val="004C2902"/>
    <w:rsid w:val="004C41B6"/>
    <w:rsid w:val="004D6E37"/>
    <w:rsid w:val="004E00EA"/>
    <w:rsid w:val="004E6B14"/>
    <w:rsid w:val="004F2ACB"/>
    <w:rsid w:val="004F4B92"/>
    <w:rsid w:val="00501B6C"/>
    <w:rsid w:val="00502A9D"/>
    <w:rsid w:val="00516785"/>
    <w:rsid w:val="0052419D"/>
    <w:rsid w:val="005301F8"/>
    <w:rsid w:val="005312FC"/>
    <w:rsid w:val="00532C6D"/>
    <w:rsid w:val="0053569E"/>
    <w:rsid w:val="0053603D"/>
    <w:rsid w:val="0053742A"/>
    <w:rsid w:val="00537C85"/>
    <w:rsid w:val="00541D29"/>
    <w:rsid w:val="00543F23"/>
    <w:rsid w:val="005513F5"/>
    <w:rsid w:val="00562F17"/>
    <w:rsid w:val="00565232"/>
    <w:rsid w:val="0056582C"/>
    <w:rsid w:val="00577281"/>
    <w:rsid w:val="005776B2"/>
    <w:rsid w:val="00586605"/>
    <w:rsid w:val="005868DE"/>
    <w:rsid w:val="005877AC"/>
    <w:rsid w:val="005966B7"/>
    <w:rsid w:val="005B5E2A"/>
    <w:rsid w:val="005C02A4"/>
    <w:rsid w:val="005C20D2"/>
    <w:rsid w:val="005C32FE"/>
    <w:rsid w:val="005C503A"/>
    <w:rsid w:val="005C5571"/>
    <w:rsid w:val="005D024A"/>
    <w:rsid w:val="005D4FD4"/>
    <w:rsid w:val="005D6D64"/>
    <w:rsid w:val="005E2C23"/>
    <w:rsid w:val="00601650"/>
    <w:rsid w:val="00604EEF"/>
    <w:rsid w:val="00605AFD"/>
    <w:rsid w:val="00611F76"/>
    <w:rsid w:val="006123D4"/>
    <w:rsid w:val="0061445B"/>
    <w:rsid w:val="00624C4B"/>
    <w:rsid w:val="006469CC"/>
    <w:rsid w:val="00647692"/>
    <w:rsid w:val="00672B5D"/>
    <w:rsid w:val="0067622C"/>
    <w:rsid w:val="00682249"/>
    <w:rsid w:val="00685CF7"/>
    <w:rsid w:val="00686165"/>
    <w:rsid w:val="00691CB5"/>
    <w:rsid w:val="006923DF"/>
    <w:rsid w:val="006A37F5"/>
    <w:rsid w:val="006B38FF"/>
    <w:rsid w:val="006C1892"/>
    <w:rsid w:val="006C5B73"/>
    <w:rsid w:val="006C645D"/>
    <w:rsid w:val="006E2D2A"/>
    <w:rsid w:val="006E3CC3"/>
    <w:rsid w:val="00706E8E"/>
    <w:rsid w:val="00722B53"/>
    <w:rsid w:val="00727EB2"/>
    <w:rsid w:val="00742366"/>
    <w:rsid w:val="00744484"/>
    <w:rsid w:val="007509DD"/>
    <w:rsid w:val="00763474"/>
    <w:rsid w:val="00766184"/>
    <w:rsid w:val="0078257B"/>
    <w:rsid w:val="00783D75"/>
    <w:rsid w:val="00784C0A"/>
    <w:rsid w:val="00790447"/>
    <w:rsid w:val="00794B40"/>
    <w:rsid w:val="00796E26"/>
    <w:rsid w:val="007A1079"/>
    <w:rsid w:val="007B2677"/>
    <w:rsid w:val="007B76AB"/>
    <w:rsid w:val="007D592B"/>
    <w:rsid w:val="007D5AA6"/>
    <w:rsid w:val="007D7A91"/>
    <w:rsid w:val="007E6456"/>
    <w:rsid w:val="00811943"/>
    <w:rsid w:val="00815C81"/>
    <w:rsid w:val="008311B8"/>
    <w:rsid w:val="00834243"/>
    <w:rsid w:val="008374C4"/>
    <w:rsid w:val="00857969"/>
    <w:rsid w:val="00882CC4"/>
    <w:rsid w:val="008844AC"/>
    <w:rsid w:val="00884926"/>
    <w:rsid w:val="0088666B"/>
    <w:rsid w:val="00897F46"/>
    <w:rsid w:val="008A1B2D"/>
    <w:rsid w:val="008C4B22"/>
    <w:rsid w:val="008C7F71"/>
    <w:rsid w:val="008D339F"/>
    <w:rsid w:val="008D43B4"/>
    <w:rsid w:val="008E6292"/>
    <w:rsid w:val="008F23EB"/>
    <w:rsid w:val="00906E61"/>
    <w:rsid w:val="00917E28"/>
    <w:rsid w:val="009250E6"/>
    <w:rsid w:val="00925AA5"/>
    <w:rsid w:val="0093540D"/>
    <w:rsid w:val="0094019D"/>
    <w:rsid w:val="00942C11"/>
    <w:rsid w:val="0094351F"/>
    <w:rsid w:val="009547F8"/>
    <w:rsid w:val="00962ACF"/>
    <w:rsid w:val="009729D4"/>
    <w:rsid w:val="00980759"/>
    <w:rsid w:val="009817B0"/>
    <w:rsid w:val="009821CE"/>
    <w:rsid w:val="00991ED3"/>
    <w:rsid w:val="009A277C"/>
    <w:rsid w:val="009A658F"/>
    <w:rsid w:val="009A65CD"/>
    <w:rsid w:val="009B088F"/>
    <w:rsid w:val="009B2249"/>
    <w:rsid w:val="009C4692"/>
    <w:rsid w:val="009D2CFF"/>
    <w:rsid w:val="009E04E4"/>
    <w:rsid w:val="009E0CA5"/>
    <w:rsid w:val="009E171B"/>
    <w:rsid w:val="00A00436"/>
    <w:rsid w:val="00A015E8"/>
    <w:rsid w:val="00A07D47"/>
    <w:rsid w:val="00A10593"/>
    <w:rsid w:val="00A12F62"/>
    <w:rsid w:val="00A14FE9"/>
    <w:rsid w:val="00A24911"/>
    <w:rsid w:val="00A30C8B"/>
    <w:rsid w:val="00A31E7B"/>
    <w:rsid w:val="00A3749B"/>
    <w:rsid w:val="00A37D87"/>
    <w:rsid w:val="00A50D88"/>
    <w:rsid w:val="00A54654"/>
    <w:rsid w:val="00A56923"/>
    <w:rsid w:val="00A62E42"/>
    <w:rsid w:val="00A64A71"/>
    <w:rsid w:val="00A65143"/>
    <w:rsid w:val="00A65CD3"/>
    <w:rsid w:val="00A7236C"/>
    <w:rsid w:val="00A72960"/>
    <w:rsid w:val="00A72D8F"/>
    <w:rsid w:val="00A74815"/>
    <w:rsid w:val="00A93401"/>
    <w:rsid w:val="00A97160"/>
    <w:rsid w:val="00AB738A"/>
    <w:rsid w:val="00AC3196"/>
    <w:rsid w:val="00AC4065"/>
    <w:rsid w:val="00AE2F90"/>
    <w:rsid w:val="00B03DD6"/>
    <w:rsid w:val="00B214C6"/>
    <w:rsid w:val="00B3583B"/>
    <w:rsid w:val="00B37A8F"/>
    <w:rsid w:val="00B55B04"/>
    <w:rsid w:val="00B65347"/>
    <w:rsid w:val="00B65DE1"/>
    <w:rsid w:val="00B66783"/>
    <w:rsid w:val="00B72AF0"/>
    <w:rsid w:val="00B737EB"/>
    <w:rsid w:val="00B775EE"/>
    <w:rsid w:val="00B87927"/>
    <w:rsid w:val="00B96128"/>
    <w:rsid w:val="00B97308"/>
    <w:rsid w:val="00BB00F3"/>
    <w:rsid w:val="00BC6E69"/>
    <w:rsid w:val="00BD26AA"/>
    <w:rsid w:val="00BD2B12"/>
    <w:rsid w:val="00BD454F"/>
    <w:rsid w:val="00BD659D"/>
    <w:rsid w:val="00BE7EA5"/>
    <w:rsid w:val="00C01DCC"/>
    <w:rsid w:val="00C202B3"/>
    <w:rsid w:val="00C21EE0"/>
    <w:rsid w:val="00C30297"/>
    <w:rsid w:val="00C336EC"/>
    <w:rsid w:val="00C50B48"/>
    <w:rsid w:val="00C555AC"/>
    <w:rsid w:val="00C60B0F"/>
    <w:rsid w:val="00C713ED"/>
    <w:rsid w:val="00C72318"/>
    <w:rsid w:val="00C724E6"/>
    <w:rsid w:val="00C747A5"/>
    <w:rsid w:val="00C85314"/>
    <w:rsid w:val="00C964E0"/>
    <w:rsid w:val="00CA0116"/>
    <w:rsid w:val="00CA4BC0"/>
    <w:rsid w:val="00CA5CA8"/>
    <w:rsid w:val="00CB0157"/>
    <w:rsid w:val="00CB28E9"/>
    <w:rsid w:val="00CB5205"/>
    <w:rsid w:val="00CC2F27"/>
    <w:rsid w:val="00CC38AC"/>
    <w:rsid w:val="00CC559D"/>
    <w:rsid w:val="00CD0C13"/>
    <w:rsid w:val="00CD654B"/>
    <w:rsid w:val="00CE223E"/>
    <w:rsid w:val="00CF3F0D"/>
    <w:rsid w:val="00D0497B"/>
    <w:rsid w:val="00D101F7"/>
    <w:rsid w:val="00D145F5"/>
    <w:rsid w:val="00D316A1"/>
    <w:rsid w:val="00D3285B"/>
    <w:rsid w:val="00D329F1"/>
    <w:rsid w:val="00D355F0"/>
    <w:rsid w:val="00D35A70"/>
    <w:rsid w:val="00D43AC8"/>
    <w:rsid w:val="00D46F0A"/>
    <w:rsid w:val="00D50879"/>
    <w:rsid w:val="00D51610"/>
    <w:rsid w:val="00D54098"/>
    <w:rsid w:val="00D54F46"/>
    <w:rsid w:val="00D56113"/>
    <w:rsid w:val="00D643F4"/>
    <w:rsid w:val="00D73B32"/>
    <w:rsid w:val="00D833D9"/>
    <w:rsid w:val="00D83BD9"/>
    <w:rsid w:val="00D94DCF"/>
    <w:rsid w:val="00D94EAE"/>
    <w:rsid w:val="00DA419D"/>
    <w:rsid w:val="00DA586F"/>
    <w:rsid w:val="00DB08DA"/>
    <w:rsid w:val="00DB5E34"/>
    <w:rsid w:val="00DB7F09"/>
    <w:rsid w:val="00DC00E8"/>
    <w:rsid w:val="00DC1C56"/>
    <w:rsid w:val="00DC4756"/>
    <w:rsid w:val="00DC6379"/>
    <w:rsid w:val="00DC6AAD"/>
    <w:rsid w:val="00DE2763"/>
    <w:rsid w:val="00DE3A53"/>
    <w:rsid w:val="00DE3C77"/>
    <w:rsid w:val="00DE70F1"/>
    <w:rsid w:val="00DF1983"/>
    <w:rsid w:val="00DF22C7"/>
    <w:rsid w:val="00DF6F61"/>
    <w:rsid w:val="00E03934"/>
    <w:rsid w:val="00E101C6"/>
    <w:rsid w:val="00E1300B"/>
    <w:rsid w:val="00E22D51"/>
    <w:rsid w:val="00E349A7"/>
    <w:rsid w:val="00E42745"/>
    <w:rsid w:val="00E50E7C"/>
    <w:rsid w:val="00E51545"/>
    <w:rsid w:val="00E51D9E"/>
    <w:rsid w:val="00E537D1"/>
    <w:rsid w:val="00E567E6"/>
    <w:rsid w:val="00E56971"/>
    <w:rsid w:val="00E61484"/>
    <w:rsid w:val="00E7017C"/>
    <w:rsid w:val="00E711D7"/>
    <w:rsid w:val="00E815E1"/>
    <w:rsid w:val="00E902B0"/>
    <w:rsid w:val="00E902E8"/>
    <w:rsid w:val="00E9296B"/>
    <w:rsid w:val="00E97C19"/>
    <w:rsid w:val="00EA23AC"/>
    <w:rsid w:val="00EA398F"/>
    <w:rsid w:val="00EA7C3D"/>
    <w:rsid w:val="00EB4B0B"/>
    <w:rsid w:val="00EB6878"/>
    <w:rsid w:val="00EC1E0E"/>
    <w:rsid w:val="00EC236D"/>
    <w:rsid w:val="00EC6B16"/>
    <w:rsid w:val="00ED5A20"/>
    <w:rsid w:val="00EE1447"/>
    <w:rsid w:val="00EE1BF1"/>
    <w:rsid w:val="00EE2A34"/>
    <w:rsid w:val="00EE4864"/>
    <w:rsid w:val="00EE7744"/>
    <w:rsid w:val="00EF03E1"/>
    <w:rsid w:val="00EF145E"/>
    <w:rsid w:val="00EF2BBB"/>
    <w:rsid w:val="00F0082D"/>
    <w:rsid w:val="00F015AB"/>
    <w:rsid w:val="00F045E0"/>
    <w:rsid w:val="00F07C90"/>
    <w:rsid w:val="00F11922"/>
    <w:rsid w:val="00F20F8A"/>
    <w:rsid w:val="00F304A4"/>
    <w:rsid w:val="00F33DB8"/>
    <w:rsid w:val="00F41F74"/>
    <w:rsid w:val="00F50241"/>
    <w:rsid w:val="00F51D7F"/>
    <w:rsid w:val="00F57BED"/>
    <w:rsid w:val="00F60198"/>
    <w:rsid w:val="00F669CD"/>
    <w:rsid w:val="00F72D24"/>
    <w:rsid w:val="00F737DB"/>
    <w:rsid w:val="00F73BCE"/>
    <w:rsid w:val="00F7613A"/>
    <w:rsid w:val="00F82746"/>
    <w:rsid w:val="00F836F9"/>
    <w:rsid w:val="00F845D7"/>
    <w:rsid w:val="00F92279"/>
    <w:rsid w:val="00FB4D21"/>
    <w:rsid w:val="00FB762B"/>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A152D29"/>
  <w15:docId w15:val="{1021BE7A-59D2-4AAB-8D2A-8C30B8D9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32"/>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39150C"/>
    <w:pPr>
      <w:spacing w:before="600" w:line="460" w:lineRule="exact"/>
      <w:outlineLvl w:val="0"/>
    </w:pPr>
    <w:rPr>
      <w:b/>
      <w:bCs w:val="0"/>
      <w:sz w:val="56"/>
    </w:rPr>
  </w:style>
  <w:style w:type="paragraph" w:styleId="Heading2">
    <w:name w:val="heading 2"/>
    <w:basedOn w:val="HeadingBase"/>
    <w:next w:val="Normal"/>
    <w:link w:val="Heading2Char"/>
    <w:qFormat/>
    <w:rsid w:val="0039150C"/>
    <w:pPr>
      <w:spacing w:before="360" w:line="460" w:lineRule="exact"/>
      <w:outlineLvl w:val="1"/>
    </w:pPr>
    <w:rPr>
      <w:bCs w:val="0"/>
      <w:iCs/>
      <w:color w:val="4D4D4D" w:themeColor="accent6"/>
      <w:szCs w:val="28"/>
    </w:rPr>
  </w:style>
  <w:style w:type="paragraph" w:styleId="Heading3">
    <w:name w:val="heading 3"/>
    <w:basedOn w:val="HeadingBase"/>
    <w:next w:val="Normal"/>
    <w:link w:val="Heading3Char"/>
    <w:qFormat/>
    <w:rsid w:val="0039150C"/>
    <w:pPr>
      <w:spacing w:before="320" w:line="276" w:lineRule="auto"/>
      <w:outlineLvl w:val="2"/>
    </w:pPr>
    <w:rPr>
      <w:bCs w:val="0"/>
      <w:color w:val="5F5F5F" w:themeColor="accent5"/>
      <w:sz w:val="36"/>
      <w:szCs w:val="26"/>
    </w:rPr>
  </w:style>
  <w:style w:type="paragraph" w:styleId="Heading4">
    <w:name w:val="heading 4"/>
    <w:basedOn w:val="HeadingBase"/>
    <w:next w:val="Normal"/>
    <w:link w:val="Heading4Char"/>
    <w:qFormat/>
    <w:rsid w:val="0039150C"/>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296BB1"/>
    <w:pPr>
      <w:spacing w:before="240" w:after="0" w:line="276" w:lineRule="auto"/>
      <w:outlineLvl w:val="4"/>
    </w:pPr>
    <w:rPr>
      <w:bCs w:val="0"/>
      <w:iCs/>
      <w:color w:val="4D4D4D" w:themeColor="accent6"/>
      <w:sz w:val="25"/>
    </w:rPr>
  </w:style>
  <w:style w:type="paragraph" w:styleId="Heading6">
    <w:name w:val="heading 6"/>
    <w:basedOn w:val="HeadingBase"/>
    <w:next w:val="Normal"/>
    <w:link w:val="Heading6Char"/>
    <w:rsid w:val="00296BB1"/>
    <w:pPr>
      <w:spacing w:before="240" w:after="0" w:line="276" w:lineRule="auto"/>
      <w:outlineLvl w:val="5"/>
    </w:pPr>
    <w:rPr>
      <w:rFonts w:ascii="Calibri Light" w:hAnsi="Calibri Light"/>
      <w:b/>
      <w:bCs w:val="0"/>
      <w:color w:val="5F5F5F" w:themeColor="accent5"/>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50C"/>
    <w:rPr>
      <w:rFonts w:asciiTheme="majorHAnsi" w:eastAsia="Times New Roman" w:hAnsiTheme="majorHAnsi" w:cs="Arial"/>
      <w:b/>
      <w:color w:val="000000" w:themeColor="text1"/>
      <w:kern w:val="32"/>
      <w:sz w:val="56"/>
      <w:szCs w:val="36"/>
      <w:lang w:eastAsia="en-AU"/>
    </w:rPr>
  </w:style>
  <w:style w:type="character" w:customStyle="1" w:styleId="Heading2Char">
    <w:name w:val="Heading 2 Char"/>
    <w:basedOn w:val="DefaultParagraphFont"/>
    <w:link w:val="Heading2"/>
    <w:rsid w:val="0039150C"/>
    <w:rPr>
      <w:rFonts w:asciiTheme="majorHAnsi" w:eastAsia="Times New Roman" w:hAnsiTheme="majorHAnsi" w:cs="Arial"/>
      <w:iCs/>
      <w:color w:val="4D4D4D" w:themeColor="accent6"/>
      <w:kern w:val="32"/>
      <w:sz w:val="48"/>
      <w:szCs w:val="28"/>
      <w:lang w:eastAsia="en-AU"/>
    </w:rPr>
  </w:style>
  <w:style w:type="character" w:customStyle="1" w:styleId="Heading3Char">
    <w:name w:val="Heading 3 Char"/>
    <w:basedOn w:val="DefaultParagraphFont"/>
    <w:link w:val="Heading3"/>
    <w:rsid w:val="0039150C"/>
    <w:rPr>
      <w:rFonts w:asciiTheme="majorHAnsi" w:eastAsia="Times New Roman" w:hAnsiTheme="majorHAnsi" w:cs="Arial"/>
      <w:color w:val="5F5F5F" w:themeColor="accent5"/>
      <w:kern w:val="32"/>
      <w:sz w:val="36"/>
      <w:szCs w:val="26"/>
      <w:lang w:eastAsia="en-AU"/>
    </w:rPr>
  </w:style>
  <w:style w:type="character" w:customStyle="1" w:styleId="Heading4Char">
    <w:name w:val="Heading 4 Char"/>
    <w:basedOn w:val="DefaultParagraphFont"/>
    <w:link w:val="Heading4"/>
    <w:rsid w:val="0039150C"/>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296BB1"/>
    <w:rPr>
      <w:rFonts w:asciiTheme="majorHAnsi" w:eastAsia="Times New Roman" w:hAnsiTheme="majorHAnsi" w:cs="Arial"/>
      <w:iCs/>
      <w:color w:val="4D4D4D" w:themeColor="accent6"/>
      <w:kern w:val="32"/>
      <w:sz w:val="25"/>
      <w:szCs w:val="36"/>
      <w:lang w:eastAsia="en-AU"/>
    </w:rPr>
  </w:style>
  <w:style w:type="character" w:customStyle="1" w:styleId="Heading6Char">
    <w:name w:val="Heading 6 Char"/>
    <w:basedOn w:val="DefaultParagraphFont"/>
    <w:link w:val="Heading6"/>
    <w:rsid w:val="00296BB1"/>
    <w:rPr>
      <w:rFonts w:ascii="Calibri Light" w:eastAsia="Times New Roman" w:hAnsi="Calibri Light" w:cs="Arial"/>
      <w:b/>
      <w:color w:val="5F5F5F" w:themeColor="accent5"/>
      <w:kern w:val="32"/>
      <w:sz w:val="23"/>
      <w:lang w:eastAsia="en-AU"/>
    </w:rPr>
  </w:style>
  <w:style w:type="paragraph" w:customStyle="1" w:styleId="ChartGraphic">
    <w:name w:val="Chart Graphic"/>
    <w:basedOn w:val="Normal"/>
    <w:next w:val="Normal"/>
    <w:rsid w:val="009250E6"/>
    <w:pPr>
      <w:keepNext/>
      <w:spacing w:before="0" w:after="0"/>
      <w:jc w:val="center"/>
    </w:pPr>
    <w:rPr>
      <w:color w:val="4D4D4D" w:themeColor="accent6"/>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D5409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D54098"/>
    <w:rPr>
      <w:rFonts w:eastAsia="Times New Roman" w:cs="Times New Roman"/>
      <w:color w:val="000000" w:themeColor="text1"/>
      <w:szCs w:val="20"/>
      <w:lang w:eastAsia="en-AU"/>
    </w:rPr>
  </w:style>
  <w:style w:type="character" w:customStyle="1" w:styleId="BulletChar">
    <w:name w:val="Bullet Char"/>
    <w:basedOn w:val="DefaultParagraphFont"/>
    <w:link w:val="Bullet"/>
    <w:locked/>
    <w:rsid w:val="00D54098"/>
    <w:rPr>
      <w:rFonts w:eastAsia="Times New Roman" w:cs="Times New Roman"/>
      <w:color w:val="000000" w:themeColor="text1"/>
      <w:szCs w:val="20"/>
      <w:lang w:eastAsia="en-AU"/>
    </w:rPr>
  </w:style>
  <w:style w:type="paragraph" w:customStyle="1" w:styleId="BoxHeading">
    <w:name w:val="Box Heading"/>
    <w:basedOn w:val="Normal"/>
    <w:next w:val="Normal"/>
    <w:rsid w:val="00565232"/>
    <w:pPr>
      <w:keepNext/>
      <w:spacing w:before="120"/>
    </w:pPr>
    <w:rPr>
      <w:b/>
      <w:sz w:val="26"/>
      <w:szCs w:val="26"/>
    </w:rPr>
  </w:style>
  <w:style w:type="paragraph" w:customStyle="1" w:styleId="BoxText">
    <w:name w:val="Box Text"/>
    <w:basedOn w:val="Normal"/>
    <w:link w:val="BoxTextChar"/>
    <w:rsid w:val="00A65143"/>
    <w:pPr>
      <w:spacing w:before="120" w:after="120"/>
    </w:pPr>
    <w:rPr>
      <w:sz w:val="20"/>
    </w:rPr>
  </w:style>
  <w:style w:type="paragraph" w:customStyle="1" w:styleId="Bullet">
    <w:name w:val="Bullet"/>
    <w:basedOn w:val="Normal"/>
    <w:link w:val="BulletChar"/>
    <w:qFormat/>
    <w:rsid w:val="00D54098"/>
    <w:pPr>
      <w:numPr>
        <w:numId w:val="19"/>
      </w:numPr>
      <w:tabs>
        <w:tab w:val="clear" w:pos="520"/>
      </w:tabs>
      <w:spacing w:before="120" w:after="60" w:line="276" w:lineRule="auto"/>
    </w:pPr>
  </w:style>
  <w:style w:type="paragraph" w:customStyle="1" w:styleId="ChartandTableFootnoteAlpha">
    <w:name w:val="Chart and Table Footnote Alpha"/>
    <w:rsid w:val="0039150C"/>
    <w:pPr>
      <w:numPr>
        <w:numId w:val="7"/>
      </w:numPr>
      <w:tabs>
        <w:tab w:val="num" w:pos="284"/>
      </w:tabs>
      <w:spacing w:before="40" w:after="40" w:line="240" w:lineRule="auto"/>
      <w:ind w:left="284" w:hanging="284"/>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39150C"/>
  </w:style>
  <w:style w:type="paragraph" w:customStyle="1" w:styleId="ChartorTableNote">
    <w:name w:val="Chart or Table Note"/>
    <w:next w:val="Normal"/>
    <w:rsid w:val="0039150C"/>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39150C"/>
    <w:rPr>
      <w:bCs/>
    </w:rPr>
  </w:style>
  <w:style w:type="paragraph" w:customStyle="1" w:styleId="ReportDate">
    <w:name w:val="Report Date"/>
    <w:basedOn w:val="Normal"/>
    <w:link w:val="ReportDateChar"/>
    <w:rsid w:val="009250E6"/>
    <w:pPr>
      <w:keepNext/>
      <w:spacing w:before="0" w:after="360"/>
    </w:pPr>
    <w:rPr>
      <w:color w:val="000000" w:themeColor="text2"/>
      <w:sz w:val="32"/>
    </w:rPr>
  </w:style>
  <w:style w:type="paragraph" w:customStyle="1" w:styleId="Dash">
    <w:name w:val="Dash"/>
    <w:basedOn w:val="Normal"/>
    <w:link w:val="DashChar"/>
    <w:qFormat/>
    <w:rsid w:val="00D54098"/>
    <w:pPr>
      <w:numPr>
        <w:ilvl w:val="1"/>
        <w:numId w:val="19"/>
      </w:numPr>
      <w:tabs>
        <w:tab w:val="clear" w:pos="804"/>
      </w:tabs>
      <w:spacing w:before="120" w:after="120"/>
    </w:pPr>
  </w:style>
  <w:style w:type="paragraph" w:customStyle="1" w:styleId="DoubleDot">
    <w:name w:val="Double Dot"/>
    <w:basedOn w:val="Normal"/>
    <w:link w:val="DoubleDotChar"/>
    <w:qFormat/>
    <w:rsid w:val="00D54098"/>
    <w:pPr>
      <w:numPr>
        <w:ilvl w:val="2"/>
        <w:numId w:val="19"/>
      </w:numPr>
      <w:tabs>
        <w:tab w:val="clear" w:pos="1088"/>
      </w:tabs>
      <w:spacing w:before="120" w:after="120"/>
    </w:pPr>
  </w:style>
  <w:style w:type="paragraph" w:customStyle="1" w:styleId="TableMainHeading">
    <w:name w:val="Table Main Heading"/>
    <w:basedOn w:val="Heading3"/>
    <w:next w:val="Normal"/>
    <w:rsid w:val="00D54F46"/>
    <w:pPr>
      <w:spacing w:before="240" w:after="60"/>
      <w:outlineLvl w:val="3"/>
    </w:pPr>
    <w:rPr>
      <w:b/>
      <w:color w:val="auto"/>
      <w:sz w:val="26"/>
    </w:rPr>
  </w:style>
  <w:style w:type="paragraph" w:customStyle="1" w:styleId="FooterEven">
    <w:name w:val="Footer Even"/>
    <w:basedOn w:val="Footer"/>
    <w:rsid w:val="008A1B2D"/>
    <w:pPr>
      <w:keepNext/>
      <w:tabs>
        <w:tab w:val="clear" w:pos="4513"/>
        <w:tab w:val="clear" w:pos="9026"/>
      </w:tabs>
      <w:jc w:val="left"/>
    </w:pPr>
    <w:rPr>
      <w:noProof/>
      <w:color w:val="auto"/>
    </w:rPr>
  </w:style>
  <w:style w:type="paragraph" w:customStyle="1" w:styleId="FooterOdd">
    <w:name w:val="Footer Odd"/>
    <w:basedOn w:val="Footer"/>
    <w:rsid w:val="008A1B2D"/>
    <w:pPr>
      <w:keepNext/>
      <w:tabs>
        <w:tab w:val="clear" w:pos="4513"/>
        <w:tab w:val="clear" w:pos="9026"/>
      </w:tabs>
      <w:jc w:val="right"/>
    </w:pPr>
    <w:rPr>
      <w:color w:val="auto"/>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39150C"/>
    <w:pPr>
      <w:keepNext/>
      <w:spacing w:before="60" w:after="60"/>
    </w:pPr>
    <w:rPr>
      <w:b/>
      <w:color w:val="5F5F5F" w:themeColor="accent5"/>
      <w:sz w:val="23"/>
    </w:rPr>
  </w:style>
  <w:style w:type="paragraph" w:customStyle="1" w:styleId="TableColumnHeadingCentred">
    <w:name w:val="Table Column Heading Centred"/>
    <w:basedOn w:val="TableTextLeft"/>
    <w:rsid w:val="00296BB1"/>
    <w:pPr>
      <w:jc w:val="center"/>
    </w:pPr>
    <w:rPr>
      <w:b/>
      <w:sz w:val="20"/>
    </w:rPr>
  </w:style>
  <w:style w:type="paragraph" w:customStyle="1" w:styleId="TableColumnHeadingLeft">
    <w:name w:val="Table Column Heading Left"/>
    <w:basedOn w:val="TableTextLeft"/>
    <w:rsid w:val="00332934"/>
    <w:rPr>
      <w:b/>
      <w:sz w:val="22"/>
      <w:szCs w:val="22"/>
    </w:rPr>
  </w:style>
  <w:style w:type="paragraph" w:customStyle="1" w:styleId="TableColumnHeadingRight">
    <w:name w:val="Table Column Heading Right"/>
    <w:basedOn w:val="TableTextLeft"/>
    <w:rsid w:val="00296BB1"/>
    <w:pPr>
      <w:jc w:val="right"/>
    </w:pPr>
    <w:rPr>
      <w:b/>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E6E6E6" w:themeColor="accent1"/>
        <w:sz w:val="20"/>
      </w:rPr>
      <w:tblPr/>
      <w:tcPr>
        <w:shd w:val="clear" w:color="auto" w:fill="F8F8F8" w:themeFill="background2"/>
      </w:tcPr>
    </w:tblStylePr>
  </w:style>
  <w:style w:type="paragraph" w:customStyle="1" w:styleId="TableTextCentered">
    <w:name w:val="Table Text Centered"/>
    <w:basedOn w:val="TableTextRight"/>
    <w:rsid w:val="00296BB1"/>
    <w:pPr>
      <w:jc w:val="center"/>
    </w:pPr>
    <w:rPr>
      <w:color w:val="auto"/>
    </w:rPr>
  </w:style>
  <w:style w:type="paragraph" w:customStyle="1" w:styleId="TableTextLeft">
    <w:name w:val="Table Text Left"/>
    <w:basedOn w:val="TableTextRight"/>
    <w:rsid w:val="00296BB1"/>
    <w:pPr>
      <w:jc w:val="left"/>
    </w:pPr>
    <w:rPr>
      <w:color w:val="auto"/>
    </w:rPr>
  </w:style>
  <w:style w:type="paragraph" w:customStyle="1" w:styleId="TableTextRight">
    <w:name w:val="Table Text Right"/>
    <w:basedOn w:val="Normal"/>
    <w:rsid w:val="00296BB1"/>
    <w:pPr>
      <w:spacing w:before="40" w:after="40"/>
      <w:jc w:val="right"/>
    </w:pPr>
    <w:rPr>
      <w:sz w:val="18"/>
    </w:rPr>
  </w:style>
  <w:style w:type="paragraph" w:styleId="TOC1">
    <w:name w:val="toc 1"/>
    <w:basedOn w:val="Normal"/>
    <w:next w:val="Normal"/>
    <w:uiPriority w:val="39"/>
    <w:rsid w:val="00565232"/>
    <w:pPr>
      <w:keepNext/>
      <w:tabs>
        <w:tab w:val="right" w:leader="dot" w:pos="9072"/>
      </w:tabs>
      <w:spacing w:before="180" w:after="0"/>
      <w:ind w:right="-2"/>
    </w:pPr>
    <w:rPr>
      <w:b/>
      <w:noProof/>
      <w:sz w:val="24"/>
      <w:szCs w:val="22"/>
    </w:rPr>
  </w:style>
  <w:style w:type="paragraph" w:styleId="TOC2">
    <w:name w:val="toc 2"/>
    <w:basedOn w:val="Normal"/>
    <w:next w:val="Normal"/>
    <w:uiPriority w:val="39"/>
    <w:rsid w:val="002608F1"/>
    <w:pPr>
      <w:keepNext/>
      <w:tabs>
        <w:tab w:val="right" w:leader="dot" w:pos="9072"/>
      </w:tabs>
      <w:spacing w:before="40" w:after="20"/>
      <w:ind w:right="-2"/>
    </w:pPr>
    <w:rPr>
      <w:noProof/>
      <w:color w:val="000000" w:themeColor="text2"/>
    </w:rPr>
  </w:style>
  <w:style w:type="paragraph" w:styleId="TOC3">
    <w:name w:val="toc 3"/>
    <w:basedOn w:val="Normal"/>
    <w:next w:val="Normal"/>
    <w:uiPriority w:val="39"/>
    <w:rsid w:val="002608F1"/>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611F76"/>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9250E6"/>
    <w:pPr>
      <w:spacing w:before="0" w:after="300"/>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9250E6"/>
    <w:rPr>
      <w:rFonts w:asciiTheme="majorHAnsi" w:eastAsiaTheme="majorEastAsia" w:hAnsiTheme="majorHAnsi" w:cstheme="majorBidi"/>
      <w:b/>
      <w:spacing w:val="5"/>
      <w:kern w:val="28"/>
      <w:sz w:val="72"/>
      <w:szCs w:val="52"/>
      <w:lang w:eastAsia="en-AU"/>
    </w:rPr>
  </w:style>
  <w:style w:type="paragraph" w:styleId="Subtitle">
    <w:name w:val="Subtitle"/>
    <w:basedOn w:val="Normal"/>
    <w:next w:val="Normal"/>
    <w:link w:val="SubtitleChar"/>
    <w:uiPriority w:val="11"/>
    <w:rsid w:val="00565232"/>
    <w:pPr>
      <w:numPr>
        <w:ilvl w:val="1"/>
      </w:numPr>
    </w:pPr>
    <w:rPr>
      <w:rFonts w:asciiTheme="majorHAnsi" w:eastAsiaTheme="majorEastAsia" w:hAnsiTheme="majorHAnsi" w:cstheme="majorBidi"/>
      <w:iCs/>
      <w:color w:val="5F5F5F" w:themeColor="accent5"/>
      <w:sz w:val="44"/>
      <w:szCs w:val="44"/>
    </w:rPr>
  </w:style>
  <w:style w:type="character" w:customStyle="1" w:styleId="SubtitleChar">
    <w:name w:val="Subtitle Char"/>
    <w:basedOn w:val="DefaultParagraphFont"/>
    <w:link w:val="Subtitle"/>
    <w:uiPriority w:val="11"/>
    <w:rsid w:val="00565232"/>
    <w:rPr>
      <w:rFonts w:asciiTheme="majorHAnsi" w:eastAsiaTheme="majorEastAsia" w:hAnsiTheme="majorHAnsi" w:cstheme="majorBidi"/>
      <w:iCs/>
      <w:color w:val="5F5F5F" w:themeColor="accent5"/>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191CFE"/>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191CFE"/>
    <w:rPr>
      <w:rFonts w:eastAsia="Times New Roman" w:cs="Times New Roman"/>
      <w:color w:val="000000" w:themeColor="text1"/>
      <w:sz w:val="20"/>
      <w:szCs w:val="20"/>
      <w:lang w:eastAsia="en-AU"/>
    </w:rPr>
  </w:style>
  <w:style w:type="paragraph" w:styleId="Header">
    <w:name w:val="header"/>
    <w:basedOn w:val="Normal"/>
    <w:link w:val="HeaderChar"/>
    <w:uiPriority w:val="99"/>
    <w:unhideWhenUsed/>
    <w:rsid w:val="00AB738A"/>
    <w:pPr>
      <w:keepNext/>
      <w:spacing w:before="0" w:after="0"/>
      <w:jc w:val="right"/>
    </w:pPr>
    <w:rPr>
      <w:color w:val="auto"/>
      <w:sz w:val="20"/>
    </w:rPr>
  </w:style>
  <w:style w:type="character" w:customStyle="1" w:styleId="HeaderChar">
    <w:name w:val="Header Char"/>
    <w:basedOn w:val="DefaultParagraphFont"/>
    <w:link w:val="Header"/>
    <w:uiPriority w:val="99"/>
    <w:rsid w:val="00AB738A"/>
    <w:rPr>
      <w:rFonts w:eastAsia="Times New Roman" w:cs="Times New Roman"/>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296BB1"/>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9250E6"/>
    <w:rPr>
      <w:rFonts w:eastAsia="Times New Roman" w:cs="Times New Roman"/>
      <w:color w:val="000000" w:themeColor="text2"/>
      <w:sz w:val="32"/>
      <w:szCs w:val="20"/>
      <w:lang w:eastAsia="en-AU"/>
    </w:rPr>
  </w:style>
  <w:style w:type="paragraph" w:customStyle="1" w:styleId="NotesHeading">
    <w:name w:val="Notes Heading"/>
    <w:basedOn w:val="Normal"/>
    <w:rsid w:val="002F617F"/>
    <w:pPr>
      <w:keepNext/>
      <w:spacing w:after="360"/>
      <w:jc w:val="center"/>
    </w:pPr>
    <w:rPr>
      <w:rFonts w:ascii="Century Gothic" w:hAnsi="Century Gothic"/>
      <w:smallCaps/>
      <w:color w:val="000000"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8A1B2D"/>
    <w:pPr>
      <w:jc w:val="left"/>
    </w:pPr>
  </w:style>
  <w:style w:type="paragraph" w:customStyle="1" w:styleId="HeaderOdd">
    <w:name w:val="Header Odd"/>
    <w:basedOn w:val="Header"/>
    <w:qFormat/>
    <w:rsid w:val="008A1B2D"/>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A65143"/>
    <w:rPr>
      <w:rFonts w:eastAsia="Times New Roman" w:cs="Times New Roman"/>
      <w:color w:val="000000" w:themeColor="text1"/>
      <w:sz w:val="20"/>
      <w:szCs w:val="20"/>
      <w:lang w:eastAsia="en-AU"/>
    </w:rPr>
  </w:style>
  <w:style w:type="paragraph" w:customStyle="1" w:styleId="Boxbullet">
    <w:name w:val="Box bullet"/>
    <w:basedOn w:val="BoxText"/>
    <w:rsid w:val="00565232"/>
    <w:pPr>
      <w:numPr>
        <w:numId w:val="22"/>
      </w:numPr>
    </w:pPr>
    <w:rPr>
      <w:lang w:eastAsia="en-US"/>
    </w:rPr>
  </w:style>
  <w:style w:type="paragraph" w:customStyle="1" w:styleId="Boxdash">
    <w:name w:val="Box dash"/>
    <w:basedOn w:val="Boxbullet"/>
    <w:rsid w:val="00565232"/>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565232"/>
    <w:pPr>
      <w:numPr>
        <w:ilvl w:val="2"/>
      </w:numPr>
      <w:tabs>
        <w:tab w:val="left" w:pos="567"/>
        <w:tab w:val="num" w:pos="1560"/>
      </w:tabs>
    </w:pPr>
  </w:style>
  <w:style w:type="paragraph" w:customStyle="1" w:styleId="Instructions">
    <w:name w:val="Instructions"/>
    <w:basedOn w:val="Normal"/>
    <w:uiPriority w:val="1"/>
    <w:qFormat/>
    <w:rsid w:val="00BE7EA5"/>
    <w:pPr>
      <w:shd w:val="clear" w:color="auto" w:fill="FFFF00"/>
      <w:ind w:left="170" w:hanging="170"/>
    </w:pPr>
    <w:rPr>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540B"/>
    <w:rPr>
      <w:rFonts w:asciiTheme="minorHAnsi" w:hAnsiTheme="minorHAnsi"/>
      <w:b/>
      <w:bCs/>
    </w:rPr>
  </w:style>
  <w:style w:type="character" w:customStyle="1" w:styleId="CommentSubjectChar">
    <w:name w:val="Comment Subject Char"/>
    <w:basedOn w:val="CommentTextChar"/>
    <w:link w:val="CommentSubject"/>
    <w:uiPriority w:val="99"/>
    <w:semiHidden/>
    <w:rsid w:val="0003540B"/>
    <w:rPr>
      <w:rFonts w:ascii="Calibri" w:eastAsia="Times New Roman" w:hAnsi="Calibri" w:cs="Times New Roman"/>
      <w:b/>
      <w:bCs/>
      <w:color w:val="000000" w:themeColor="text1"/>
      <w:sz w:val="20"/>
      <w:szCs w:val="20"/>
      <w:lang w:eastAsia="en-AU"/>
    </w:rPr>
  </w:style>
  <w:style w:type="table" w:styleId="GridTable1Light">
    <w:name w:val="Grid Table 1 Light"/>
    <w:basedOn w:val="TableNormal"/>
    <w:uiPriority w:val="46"/>
    <w:rsid w:val="00991E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91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rsid w:val="00DF22C7"/>
    <w:pPr>
      <w:spacing w:after="0" w:line="240" w:lineRule="auto"/>
    </w:pPr>
    <w:rPr>
      <w:rFonts w:eastAsia="Times New Roman" w:cs="Times New Roman"/>
      <w:color w:val="000000" w:themeColor="text1"/>
      <w:szCs w:val="20"/>
      <w:lang w:eastAsia="en-AU"/>
    </w:rPr>
  </w:style>
  <w:style w:type="paragraph" w:customStyle="1" w:styleId="Measures">
    <w:name w:val="Measures"/>
    <w:basedOn w:val="TableTextLeft"/>
    <w:qFormat/>
    <w:rsid w:val="005513F5"/>
    <w:pPr>
      <w:spacing w:before="120" w:after="120"/>
      <w:ind w:left="1021" w:hanging="1021"/>
    </w:pPr>
    <w:rPr>
      <w:sz w:val="20"/>
    </w:rPr>
  </w:style>
  <w:style w:type="paragraph" w:customStyle="1" w:styleId="Tablerecommendation">
    <w:name w:val="Table recommendation"/>
    <w:basedOn w:val="TableTextLeft"/>
    <w:qFormat/>
    <w:rsid w:val="00332934"/>
    <w:pPr>
      <w:spacing w:before="120" w:after="12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mc.gov.au/honours-and-symbols/commonwealth-coat-ar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deed.e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Independent%20A4%20Report.dotm" TargetMode="External"/></Relationships>
</file>

<file path=word/theme/theme1.xml><?xml version="1.0" encoding="utf-8"?>
<a:theme xmlns:a="http://schemas.openxmlformats.org/drawingml/2006/main" name="TSYBrand">
  <a:themeElements>
    <a:clrScheme name="Treasury Grayscale">
      <a:dk1>
        <a:sysClr val="windowText" lastClr="000000"/>
      </a:dk1>
      <a:lt1>
        <a:sysClr val="window" lastClr="FFFFFF"/>
      </a:lt1>
      <a:dk2>
        <a:srgbClr val="000000"/>
      </a:dk2>
      <a:lt2>
        <a:srgbClr val="F8F8F8"/>
      </a:lt2>
      <a:accent1>
        <a:srgbClr val="E6E6E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Independent A4 Report.dotm</Template>
  <TotalTime>16</TotalTime>
  <Pages>6</Pages>
  <Words>1210</Words>
  <Characters>7272</Characters>
  <Application>Microsoft Office Word</Application>
  <DocSecurity>0</DocSecurity>
  <Lines>190</Lines>
  <Paragraphs>65</Paragraphs>
  <ScaleCrop>false</ScaleCrop>
  <HeadingPairs>
    <vt:vector size="2" baseType="variant">
      <vt:variant>
        <vt:lpstr>Title</vt:lpstr>
      </vt:variant>
      <vt:variant>
        <vt:i4>1</vt:i4>
      </vt:variant>
    </vt:vector>
  </HeadingPairs>
  <TitlesOfParts>
    <vt:vector size="1" baseType="lpstr">
      <vt:lpstr>Government Response: Government response: Potential policy responses to de-banking in Australia</vt:lpstr>
    </vt:vector>
  </TitlesOfParts>
  <Company>Australian Government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Government response: Potential policy responses to de-banking in Australia</dc:title>
  <dc:creator>Australian Government</dc:creator>
  <cp:lastModifiedBy>Hill, Christine</cp:lastModifiedBy>
  <cp:revision>3</cp:revision>
  <cp:lastPrinted>2023-06-15T02:34:00Z</cp:lastPrinted>
  <dcterms:created xsi:type="dcterms:W3CDTF">2023-06-15T02:49:00Z</dcterms:created>
  <dcterms:modified xsi:type="dcterms:W3CDTF">2023-06-20T07:27:00Z</dcterms:modified>
</cp:coreProperties>
</file>